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83" w:rsidRDefault="00A02610" w:rsidP="0055396A">
      <w:pPr>
        <w:pStyle w:val="Title"/>
      </w:pPr>
      <w:r>
        <w:t>Oversight Committee for the Core Curriculum</w:t>
      </w:r>
    </w:p>
    <w:p w:rsidR="00A02610" w:rsidRDefault="00A02610" w:rsidP="0055396A">
      <w:pPr>
        <w:pStyle w:val="Subtitle"/>
      </w:pPr>
      <w:r>
        <w:t>End of Year Report, AY2016</w:t>
      </w:r>
    </w:p>
    <w:p w:rsidR="00A02610" w:rsidRDefault="00A02610">
      <w:r>
        <w:t>To: Faculty Senate</w:t>
      </w:r>
    </w:p>
    <w:p w:rsidR="00A02610" w:rsidRDefault="00A02610">
      <w:r>
        <w:t>Co-Chairs: Karen Harker and Jeanne Tunks</w:t>
      </w:r>
    </w:p>
    <w:p w:rsidR="00A02610" w:rsidRDefault="00A02610">
      <w:r>
        <w:t>Date: June 9, 2016</w:t>
      </w:r>
    </w:p>
    <w:p w:rsidR="00A02610" w:rsidRDefault="00A02610">
      <w:r>
        <w:t>This is a report of the activities of the Oversight Committee for the Core Curriculum during the course of the 2015-2016 academic year.</w:t>
      </w:r>
    </w:p>
    <w:p w:rsidR="00A02610" w:rsidRDefault="00A02610" w:rsidP="0055396A">
      <w:pPr>
        <w:pStyle w:val="Heading3"/>
      </w:pPr>
      <w:r>
        <w:t>Membership</w:t>
      </w:r>
    </w:p>
    <w:p w:rsidR="009210D9" w:rsidRDefault="00A02610" w:rsidP="00D4700E">
      <w:r>
        <w:t xml:space="preserve">The OCCC started the 2016 academic year with all seats filled.  Unfortunately, one member (Stephen Garretson) left the university and we have yet to fill the vacancy (Group VI).  </w:t>
      </w:r>
      <w:r w:rsidR="00D4700E">
        <w:t>We would like to nominate Judith Bradetich, from Educational Psychology, to fill this vacancy</w:t>
      </w:r>
      <w:r>
        <w:t xml:space="preserve">.  </w:t>
      </w:r>
    </w:p>
    <w:p w:rsidR="009210D9" w:rsidRDefault="009210D9" w:rsidP="009210D9">
      <w:r>
        <w:t>Current membership roster: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I: Kathryn Raign (TCOM) – Term Ends 2018*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II: @Karen Harker (LIBR) - Term Ends 2018*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III: Robert Renka (CSCE) - Term Ends 2016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IV: Steven Forde (PSCI) - Term Ends 2017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V: Robert Insley (MGMT) - Term Ends 2016</w:t>
      </w:r>
    </w:p>
    <w:p w:rsidR="009210D9" w:rsidRPr="0055396A" w:rsidRDefault="009210D9" w:rsidP="009210D9">
      <w:pPr>
        <w:pStyle w:val="ListParagraph"/>
        <w:numPr>
          <w:ilvl w:val="0"/>
          <w:numId w:val="2"/>
        </w:numPr>
        <w:rPr>
          <w:i/>
        </w:rPr>
      </w:pPr>
      <w:r w:rsidRPr="0055396A">
        <w:rPr>
          <w:i/>
        </w:rPr>
        <w:t xml:space="preserve">Group VI: Stephen Garretson (EPSY) </w:t>
      </w:r>
      <w:r w:rsidR="0055396A" w:rsidRPr="0055396A">
        <w:rPr>
          <w:i/>
        </w:rPr>
        <w:t>–</w:t>
      </w:r>
      <w:r w:rsidRPr="0055396A">
        <w:rPr>
          <w:i/>
        </w:rPr>
        <w:t xml:space="preserve"> </w:t>
      </w:r>
      <w:r w:rsidR="0055396A" w:rsidRPr="0055396A">
        <w:rPr>
          <w:i/>
        </w:rPr>
        <w:t>Left the University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VII: Gabe Ignatow (SOCI) - Term Ends 2017</w:t>
      </w:r>
    </w:p>
    <w:p w:rsidR="009210D9" w:rsidRDefault="009210D9" w:rsidP="009210D9">
      <w:pPr>
        <w:pStyle w:val="ListParagraph"/>
        <w:numPr>
          <w:ilvl w:val="0"/>
          <w:numId w:val="2"/>
        </w:numPr>
      </w:pPr>
      <w:r>
        <w:t>Group VIII: Teresa Cooper (DANC) - Term Ends 2018</w:t>
      </w:r>
    </w:p>
    <w:p w:rsidR="009210D9" w:rsidRDefault="009210D9" w:rsidP="00102DAC">
      <w:pPr>
        <w:pStyle w:val="ListParagraph"/>
        <w:numPr>
          <w:ilvl w:val="0"/>
          <w:numId w:val="2"/>
        </w:numPr>
      </w:pPr>
      <w:r>
        <w:t>Faculty Senate Executive Committee Appointments:</w:t>
      </w:r>
    </w:p>
    <w:p w:rsidR="009210D9" w:rsidRDefault="009210D9" w:rsidP="009210D9">
      <w:pPr>
        <w:pStyle w:val="ListParagraph"/>
        <w:numPr>
          <w:ilvl w:val="1"/>
          <w:numId w:val="2"/>
        </w:numPr>
      </w:pPr>
      <w:r>
        <w:t>Group A-L 1: Lou Pelton (MKTG) - Term Ends 2017</w:t>
      </w:r>
    </w:p>
    <w:p w:rsidR="009210D9" w:rsidRDefault="009210D9" w:rsidP="009210D9">
      <w:pPr>
        <w:pStyle w:val="ListParagraph"/>
        <w:numPr>
          <w:ilvl w:val="1"/>
          <w:numId w:val="2"/>
        </w:numPr>
      </w:pPr>
      <w:r>
        <w:t>Group A-L 2: Daniel Alemneh (LIBR) - Term Ends 2017</w:t>
      </w:r>
    </w:p>
    <w:p w:rsidR="009210D9" w:rsidRDefault="009210D9" w:rsidP="009210D9">
      <w:pPr>
        <w:pStyle w:val="ListParagraph"/>
        <w:numPr>
          <w:ilvl w:val="1"/>
          <w:numId w:val="2"/>
        </w:numPr>
      </w:pPr>
      <w:r>
        <w:t>Group A-L 3: Phil Sweany (CSCE) - Term Ends 2018</w:t>
      </w:r>
    </w:p>
    <w:p w:rsidR="00D4700E" w:rsidRDefault="00D4700E" w:rsidP="00D4700E">
      <w:r>
        <w:t>Two of the members whose terms are expiring did not indicate their desire to return:</w:t>
      </w:r>
    </w:p>
    <w:p w:rsidR="00D4700E" w:rsidRDefault="00D4700E" w:rsidP="00D4700E">
      <w:pPr>
        <w:pStyle w:val="ListParagraph"/>
        <w:numPr>
          <w:ilvl w:val="0"/>
          <w:numId w:val="1"/>
        </w:numPr>
      </w:pPr>
      <w:r>
        <w:t>Robert Renka (Group III)</w:t>
      </w:r>
    </w:p>
    <w:p w:rsidR="00D4700E" w:rsidRDefault="00D4700E" w:rsidP="00D4700E">
      <w:pPr>
        <w:pStyle w:val="ListParagraph"/>
        <w:numPr>
          <w:ilvl w:val="0"/>
          <w:numId w:val="1"/>
        </w:numPr>
      </w:pPr>
      <w:r>
        <w:t>Bob Insley (Group V)</w:t>
      </w:r>
    </w:p>
    <w:p w:rsidR="00D4700E" w:rsidRDefault="00D4700E" w:rsidP="009210D9"/>
    <w:p w:rsidR="009210D9" w:rsidRDefault="009210D9" w:rsidP="0055396A">
      <w:pPr>
        <w:pStyle w:val="Heading3"/>
      </w:pPr>
      <w:r>
        <w:t>Meetings</w:t>
      </w:r>
    </w:p>
    <w:p w:rsidR="009210D9" w:rsidRDefault="009210D9" w:rsidP="009210D9">
      <w:r>
        <w:t>The OCCC held 8 meetings: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September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October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November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lastRenderedPageBreak/>
        <w:t>December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January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February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March</w:t>
      </w:r>
    </w:p>
    <w:p w:rsidR="009210D9" w:rsidRDefault="009210D9" w:rsidP="009210D9">
      <w:pPr>
        <w:pStyle w:val="ListParagraph"/>
        <w:numPr>
          <w:ilvl w:val="0"/>
          <w:numId w:val="3"/>
        </w:numPr>
      </w:pPr>
      <w:r>
        <w:t>May</w:t>
      </w:r>
    </w:p>
    <w:p w:rsidR="009210D9" w:rsidRDefault="009210D9" w:rsidP="009210D9">
      <w:r>
        <w:t xml:space="preserve">The April meeting was not official due to a lack </w:t>
      </w:r>
      <w:r w:rsidR="0055396A">
        <w:t>a</w:t>
      </w:r>
      <w:r>
        <w:t xml:space="preserve"> quorum.</w:t>
      </w:r>
    </w:p>
    <w:p w:rsidR="009210D9" w:rsidRDefault="009210D9" w:rsidP="0055396A">
      <w:pPr>
        <w:pStyle w:val="Heading3"/>
      </w:pPr>
      <w:r>
        <w:t>Attendance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1705"/>
        <w:gridCol w:w="2155"/>
        <w:gridCol w:w="1120"/>
        <w:gridCol w:w="1000"/>
      </w:tblGrid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Representation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b/>
                <w:bCs/>
                <w:color w:val="000000"/>
              </w:rPr>
              <w:t>Attended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b/>
                <w:bCs/>
                <w:color w:val="000000"/>
              </w:rPr>
              <w:t>Missed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Admin Co-Chair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Jeanne Tunks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I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Kathryn Raign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II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Karen Harker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III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Robert Renka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IV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Steven Forde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V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Robert Insley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VI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Stephen Garretson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VII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Gabe Ignatow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VIII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Teresa Cooper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AL1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Lou Pelton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AL2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Daniel Alemneh</w:t>
            </w:r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210D9" w:rsidRPr="009210D9" w:rsidTr="009210D9">
        <w:trPr>
          <w:trHeight w:val="288"/>
        </w:trPr>
        <w:tc>
          <w:tcPr>
            <w:tcW w:w="170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Group AL3</w:t>
            </w:r>
          </w:p>
        </w:tc>
        <w:tc>
          <w:tcPr>
            <w:tcW w:w="2155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 xml:space="preserve">Phil </w:t>
            </w:r>
            <w:proofErr w:type="spellStart"/>
            <w:r w:rsidRPr="009210D9">
              <w:rPr>
                <w:rFonts w:ascii="Calibri" w:eastAsia="Times New Roman" w:hAnsi="Calibri" w:cs="Times New Roman"/>
                <w:color w:val="000000"/>
              </w:rPr>
              <w:t>Sweaney</w:t>
            </w:r>
            <w:proofErr w:type="spellEnd"/>
          </w:p>
        </w:tc>
        <w:tc>
          <w:tcPr>
            <w:tcW w:w="112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0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hideMark/>
          </w:tcPr>
          <w:p w:rsidR="009210D9" w:rsidRPr="009210D9" w:rsidRDefault="009210D9" w:rsidP="009210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210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:rsidR="009210D9" w:rsidRDefault="009210D9" w:rsidP="009210D9">
      <w:r>
        <w:t>*Left the university in October 2015.</w:t>
      </w:r>
    </w:p>
    <w:p w:rsidR="009210D9" w:rsidRDefault="009210D9" w:rsidP="0055396A">
      <w:pPr>
        <w:pStyle w:val="Heading3"/>
      </w:pPr>
      <w:r>
        <w:t>Charges and Outcomes</w:t>
      </w:r>
    </w:p>
    <w:p w:rsidR="009210D9" w:rsidRDefault="009210D9" w:rsidP="009210D9">
      <w:r>
        <w:t>The charges, and their outcome, for the 2016 academic year included:</w:t>
      </w:r>
    </w:p>
    <w:p w:rsidR="009210D9" w:rsidRDefault="009210D9" w:rsidP="009210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210D9">
        <w:rPr>
          <w:rFonts w:ascii="Calibri" w:eastAsia="Times New Roman" w:hAnsi="Calibri" w:cs="Times New Roman"/>
          <w:color w:val="000000"/>
        </w:rPr>
        <w:t>Revise/finalize Communications rubric in fall and Pe</w:t>
      </w:r>
      <w:r>
        <w:rPr>
          <w:rFonts w:ascii="Calibri" w:eastAsia="Times New Roman" w:hAnsi="Calibri" w:cs="Times New Roman"/>
          <w:color w:val="000000"/>
        </w:rPr>
        <w:t>rsonal Responsibility in spring.</w:t>
      </w:r>
    </w:p>
    <w:p w:rsidR="009210D9" w:rsidRDefault="009210D9" w:rsidP="009210D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Communications rubric was revised and approved by the OCCC </w:t>
      </w:r>
      <w:r w:rsidR="00D4700E">
        <w:rPr>
          <w:rFonts w:ascii="Calibri" w:eastAsia="Times New Roman" w:hAnsi="Calibri" w:cs="Times New Roman"/>
          <w:color w:val="000000"/>
        </w:rPr>
        <w:t>at the November 2015 meeting.</w:t>
      </w:r>
    </w:p>
    <w:p w:rsidR="00D4700E" w:rsidRDefault="00D4700E" w:rsidP="009210D9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</w:t>
      </w:r>
      <w:r w:rsidR="0055396A">
        <w:rPr>
          <w:rFonts w:ascii="Calibri" w:eastAsia="Times New Roman" w:hAnsi="Calibri" w:cs="Times New Roman"/>
          <w:color w:val="000000"/>
        </w:rPr>
        <w:t>Personal Responsibility rubric was reviewed and approved by the OCCC in April, 2015.</w:t>
      </w:r>
    </w:p>
    <w:p w:rsidR="009210D9" w:rsidRDefault="009210D9" w:rsidP="009210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210D9">
        <w:rPr>
          <w:rFonts w:ascii="Calibri" w:eastAsia="Times New Roman" w:hAnsi="Calibri" w:cs="Times New Roman"/>
          <w:color w:val="000000"/>
        </w:rPr>
        <w:t xml:space="preserve">Implement communal assessments for fall and spring semesters. </w:t>
      </w:r>
    </w:p>
    <w:p w:rsidR="00D4700E" w:rsidRDefault="00D4700E" w:rsidP="00D4700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Communal as</w:t>
      </w:r>
      <w:r w:rsidR="0055396A">
        <w:rPr>
          <w:rFonts w:ascii="Calibri" w:eastAsia="Times New Roman" w:hAnsi="Calibri" w:cs="Times New Roman"/>
          <w:color w:val="000000"/>
        </w:rPr>
        <w:t>sessment was conducted for the f</w:t>
      </w:r>
      <w:r>
        <w:rPr>
          <w:rFonts w:ascii="Calibri" w:eastAsia="Times New Roman" w:hAnsi="Calibri" w:cs="Times New Roman"/>
          <w:color w:val="000000"/>
        </w:rPr>
        <w:t>all 2015 semester from December 1-4</w:t>
      </w:r>
      <w:r w:rsidRPr="00D4700E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>, 2015.  Assignments in the Communications and Social Responsibility objectives were assessed.</w:t>
      </w:r>
    </w:p>
    <w:p w:rsidR="00D4700E" w:rsidRPr="009210D9" w:rsidRDefault="00D4700E" w:rsidP="00D4700E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Communal assessment was cond</w:t>
      </w:r>
      <w:r w:rsidR="0055396A">
        <w:rPr>
          <w:rFonts w:ascii="Calibri" w:eastAsia="Times New Roman" w:hAnsi="Calibri" w:cs="Times New Roman"/>
          <w:color w:val="000000"/>
        </w:rPr>
        <w:t>ucted for the s</w:t>
      </w:r>
      <w:r>
        <w:rPr>
          <w:rFonts w:ascii="Calibri" w:eastAsia="Times New Roman" w:hAnsi="Calibri" w:cs="Times New Roman"/>
          <w:color w:val="000000"/>
        </w:rPr>
        <w:t>pring 2016 semester from May 3-6</w:t>
      </w:r>
      <w:r w:rsidRPr="00D4700E">
        <w:rPr>
          <w:rFonts w:ascii="Calibri" w:eastAsia="Times New Roman" w:hAnsi="Calibri" w:cs="Times New Roman"/>
          <w:color w:val="000000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</w:rPr>
        <w:t>, 2016.  Assignments in the Empirical and Qualitative Skills and the Personal Responsibility objectives were assessed.</w:t>
      </w:r>
    </w:p>
    <w:p w:rsidR="009210D9" w:rsidRPr="009210D9" w:rsidRDefault="009210D9" w:rsidP="009210D9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9210D9">
        <w:rPr>
          <w:rFonts w:ascii="Calibri" w:eastAsia="Times New Roman" w:hAnsi="Calibri" w:cs="Times New Roman"/>
          <w:color w:val="000000"/>
        </w:rPr>
        <w:t>Increase percentage of usable assignments submitted to th</w:t>
      </w:r>
      <w:r w:rsidR="0055396A">
        <w:rPr>
          <w:rFonts w:ascii="Calibri" w:eastAsia="Times New Roman" w:hAnsi="Calibri" w:cs="Times New Roman"/>
          <w:color w:val="000000"/>
        </w:rPr>
        <w:t xml:space="preserve">e OCCC for approval in communal </w:t>
      </w:r>
      <w:r w:rsidRPr="009210D9">
        <w:rPr>
          <w:rFonts w:ascii="Calibri" w:eastAsia="Times New Roman" w:hAnsi="Calibri" w:cs="Times New Roman"/>
          <w:color w:val="000000"/>
        </w:rPr>
        <w:t xml:space="preserve">process. </w:t>
      </w:r>
    </w:p>
    <w:p w:rsidR="009210D9" w:rsidRDefault="00D4700E" w:rsidP="0055396A">
      <w:pPr>
        <w:numPr>
          <w:ilvl w:val="2"/>
          <w:numId w:val="6"/>
        </w:numPr>
        <w:spacing w:after="0" w:line="240" w:lineRule="auto"/>
        <w:ind w:left="1620"/>
        <w:textAlignment w:val="center"/>
      </w:pPr>
      <w:r w:rsidRPr="0055396A">
        <w:rPr>
          <w:rFonts w:ascii="Calibri" w:eastAsia="Times New Roman" w:hAnsi="Calibri" w:cs="Times New Roman"/>
          <w:color w:val="000000"/>
        </w:rPr>
        <w:t>A subcommittee was formed at the end of the 2015 academic year for this purpose.  Dur</w:t>
      </w:r>
      <w:r w:rsidR="0055396A" w:rsidRPr="0055396A">
        <w:rPr>
          <w:rFonts w:ascii="Calibri" w:eastAsia="Times New Roman" w:hAnsi="Calibri" w:cs="Times New Roman"/>
          <w:color w:val="000000"/>
        </w:rPr>
        <w:t xml:space="preserve">ing the year, this subcommittee </w:t>
      </w:r>
      <w:r w:rsidR="0055396A">
        <w:rPr>
          <w:rFonts w:ascii="Calibri" w:eastAsia="Times New Roman" w:hAnsi="Calibri" w:cs="Times New Roman"/>
          <w:color w:val="000000"/>
        </w:rPr>
        <w:t>i</w:t>
      </w:r>
      <w:r w:rsidRPr="0055396A">
        <w:rPr>
          <w:rFonts w:ascii="Calibri" w:eastAsia="Times New Roman" w:hAnsi="Calibri" w:cs="Times New Roman"/>
          <w:color w:val="000000"/>
        </w:rPr>
        <w:t xml:space="preserve">dentified </w:t>
      </w:r>
      <w:r w:rsidR="009210D9" w:rsidRPr="009210D9">
        <w:rPr>
          <w:rFonts w:ascii="Calibri" w:eastAsia="Times New Roman" w:hAnsi="Calibri" w:cs="Times New Roman"/>
          <w:color w:val="000000"/>
        </w:rPr>
        <w:t>a</w:t>
      </w:r>
      <w:r w:rsidR="0055396A">
        <w:rPr>
          <w:rFonts w:ascii="Calibri" w:eastAsia="Times New Roman" w:hAnsi="Calibri" w:cs="Times New Roman"/>
          <w:color w:val="000000"/>
        </w:rPr>
        <w:t xml:space="preserve">ssignments needing improvement and worked with the Director of the Core Curriculum to develop a summer institute for training selected faculty to develop assignments that produced authentic student work.  This training is based on that developed and provided by </w:t>
      </w:r>
      <w:r w:rsidR="0055396A">
        <w:t xml:space="preserve">the National Institute for Learning Outcomes Assessment (NILOA).  The subcommittee members will assist </w:t>
      </w:r>
      <w:r w:rsidR="0055396A">
        <w:lastRenderedPageBreak/>
        <w:t>the Director the Core Curriculum with the implementation of this institute, which will be conducted in July, 2015.</w:t>
      </w:r>
    </w:p>
    <w:p w:rsidR="00475804" w:rsidRDefault="00475804" w:rsidP="00475804">
      <w:pPr>
        <w:spacing w:after="0" w:line="240" w:lineRule="auto"/>
        <w:textAlignment w:val="center"/>
      </w:pPr>
    </w:p>
    <w:p w:rsidR="00475804" w:rsidRDefault="00475804" w:rsidP="0059170F">
      <w:pPr>
        <w:pStyle w:val="Heading3"/>
      </w:pPr>
      <w:r>
        <w:t>Other accomplishm</w:t>
      </w:r>
      <w:bookmarkStart w:id="0" w:name="_GoBack"/>
      <w:bookmarkEnd w:id="0"/>
      <w:r>
        <w:t>ents</w:t>
      </w:r>
    </w:p>
    <w:p w:rsidR="00475804" w:rsidRDefault="0059170F" w:rsidP="0059170F">
      <w:pPr>
        <w:spacing w:after="0" w:line="240" w:lineRule="auto"/>
        <w:textAlignment w:val="center"/>
      </w:pPr>
      <w:r>
        <w:t xml:space="preserve">The OCCC </w:t>
      </w:r>
      <w:r w:rsidR="00475804">
        <w:t>reviewed 7 courses requesting</w:t>
      </w:r>
      <w:r>
        <w:t xml:space="preserve"> addition to the Core and changes to 6 Core courses.  </w:t>
      </w:r>
    </w:p>
    <w:p w:rsidR="0059170F" w:rsidRDefault="0059170F" w:rsidP="0059170F">
      <w:pPr>
        <w:spacing w:after="0" w:line="240" w:lineRule="auto"/>
        <w:textAlignment w:val="center"/>
      </w:pPr>
    </w:p>
    <w:p w:rsidR="0059170F" w:rsidRDefault="0059170F" w:rsidP="0059170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OCCC also compared a</w:t>
      </w:r>
      <w:r>
        <w:rPr>
          <w:rFonts w:ascii="Calibri" w:eastAsia="Times New Roman" w:hAnsi="Calibri" w:cs="Times New Roman"/>
          <w:color w:val="000000"/>
        </w:rPr>
        <w:t>ssignments in the Empirical and Quantitative Skills objective were against the rubric and determined that the rubric would not be valid to assess these assignments.  Thus, the OCCC revised the E&amp;Q</w:t>
      </w:r>
      <w:r>
        <w:rPr>
          <w:rFonts w:ascii="Calibri" w:eastAsia="Times New Roman" w:hAnsi="Calibri" w:cs="Times New Roman"/>
          <w:color w:val="000000"/>
        </w:rPr>
        <w:t>S</w:t>
      </w:r>
      <w:r>
        <w:rPr>
          <w:rFonts w:ascii="Calibri" w:eastAsia="Times New Roman" w:hAnsi="Calibri" w:cs="Times New Roman"/>
          <w:color w:val="000000"/>
        </w:rPr>
        <w:t xml:space="preserve"> rubric and approved the revised rubric before the spring 2016 communal assessments.</w:t>
      </w:r>
    </w:p>
    <w:p w:rsidR="0059170F" w:rsidRDefault="0059170F" w:rsidP="0059170F">
      <w:pPr>
        <w:spacing w:after="0" w:line="240" w:lineRule="auto"/>
        <w:textAlignment w:val="center"/>
      </w:pPr>
    </w:p>
    <w:sectPr w:rsidR="0059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0A84"/>
    <w:multiLevelType w:val="hybridMultilevel"/>
    <w:tmpl w:val="38F8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144D3"/>
    <w:multiLevelType w:val="multilevel"/>
    <w:tmpl w:val="1E70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3AEF"/>
    <w:multiLevelType w:val="hybridMultilevel"/>
    <w:tmpl w:val="6AF8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A025E"/>
    <w:multiLevelType w:val="hybridMultilevel"/>
    <w:tmpl w:val="1912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87324"/>
    <w:multiLevelType w:val="hybridMultilevel"/>
    <w:tmpl w:val="032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/>
    <w:lvlOverride w:ilvl="1">
      <w:startOverride w:val="1"/>
    </w:lvlOverride>
  </w:num>
  <w:num w:numId="6">
    <w:abstractNumId w:val="1"/>
    <w:lvlOverride w:ilvl="0"/>
    <w:lvlOverride w:ilvl="1"/>
    <w:lvlOverride w:ilvl="2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0"/>
    <w:rsid w:val="00475804"/>
    <w:rsid w:val="0055396A"/>
    <w:rsid w:val="0059170F"/>
    <w:rsid w:val="009210D9"/>
    <w:rsid w:val="00A02610"/>
    <w:rsid w:val="00B05A00"/>
    <w:rsid w:val="00B50791"/>
    <w:rsid w:val="00C97D09"/>
    <w:rsid w:val="00D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0E16E-6257-4111-A99F-A500FEEB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1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39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9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396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53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B31A18C69184A87F00B2738E9E7D1" ma:contentTypeVersion="2" ma:contentTypeDescription="Create a new document." ma:contentTypeScope="" ma:versionID="aa4eb744d42a9dfeb871e334db889fb6">
  <xsd:schema xmlns:xsd="http://www.w3.org/2001/XMLSchema" xmlns:xs="http://www.w3.org/2001/XMLSchema" xmlns:p="http://schemas.microsoft.com/office/2006/metadata/properties" xmlns:ns2="3db55a14-9d7b-4a4f-88ae-639a23231f06" targetNamespace="http://schemas.microsoft.com/office/2006/metadata/properties" ma:root="true" ma:fieldsID="6719ac65e0ff4ca70e6cdfdbeef041db" ns2:_="">
    <xsd:import namespace="3db55a14-9d7b-4a4f-88ae-639a23231f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5a14-9d7b-4a4f-88ae-639a23231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b55a14-9d7b-4a4f-88ae-639a23231f06">
      <UserInfo>
        <DisplayName>OCCC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EA4D16-8311-4F18-8567-635CB121A568}"/>
</file>

<file path=customXml/itemProps2.xml><?xml version="1.0" encoding="utf-8"?>
<ds:datastoreItem xmlns:ds="http://schemas.openxmlformats.org/officeDocument/2006/customXml" ds:itemID="{70E84C7C-603A-4879-A3F0-7A27C7FF65A0}"/>
</file>

<file path=customXml/itemProps3.xml><?xml version="1.0" encoding="utf-8"?>
<ds:datastoreItem xmlns:ds="http://schemas.openxmlformats.org/officeDocument/2006/customXml" ds:itemID="{1654976F-D88B-4B27-933E-668BBA1B9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Harker, Karen</dc:creator>
  <cp:keywords/>
  <dc:description/>
  <cp:lastModifiedBy>Harker, Karen</cp:lastModifiedBy>
  <cp:revision>2</cp:revision>
  <dcterms:created xsi:type="dcterms:W3CDTF">2016-06-09T20:00:00Z</dcterms:created>
  <dcterms:modified xsi:type="dcterms:W3CDTF">2016-06-09T21:01:00Z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0x0101005C5B31A18C69184A87F00B2738E9E7D1</vt:lpwstr>
  </property>
</Properties>
</file>