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2E05" w14:textId="046EED13" w:rsidR="00FE6682" w:rsidRDefault="641F9515">
      <w:r w:rsidRPr="475C74B4">
        <w:rPr>
          <w:rFonts w:ascii="Times New Roman" w:eastAsia="Times New Roman" w:hAnsi="Times New Roman" w:cs="Times New Roman"/>
          <w:b/>
          <w:bCs/>
          <w:sz w:val="20"/>
          <w:szCs w:val="20"/>
        </w:rPr>
        <w:t>This template is provided to assist committee chairs to satisfy the reporting requirements found in Faculty Senate Bylaws, Article III, Section 2.  Please note the following applicable provisions:</w:t>
      </w:r>
    </w:p>
    <w:p w14:paraId="18E4E6E0" w14:textId="033C8671" w:rsidR="00FE6682" w:rsidRDefault="641F9515">
      <w:r w:rsidRPr="475C74B4">
        <w:rPr>
          <w:rFonts w:ascii="Times New Roman" w:eastAsia="Times New Roman" w:hAnsi="Times New Roman" w:cs="Times New Roman"/>
          <w:b/>
          <w:bCs/>
          <w:sz w:val="20"/>
          <w:szCs w:val="20"/>
        </w:rPr>
        <w:t xml:space="preserve"> </w:t>
      </w:r>
      <w:r w:rsidRPr="475C74B4">
        <w:rPr>
          <w:rFonts w:ascii="Times New Roman" w:eastAsia="Times New Roman" w:hAnsi="Times New Roman" w:cs="Times New Roman"/>
          <w:b/>
          <w:bCs/>
          <w:i/>
          <w:iCs/>
          <w:sz w:val="20"/>
          <w:szCs w:val="20"/>
        </w:rPr>
        <w:t>The Chair of each Faculty Senate Committee shall report at least once each semester to the chair of the Executive Committee regarding the business conducted by the Faculty Senate Committee….</w:t>
      </w:r>
    </w:p>
    <w:p w14:paraId="3A626353" w14:textId="3ECBA4F9" w:rsidR="00FE6682" w:rsidRDefault="641F9515">
      <w:r w:rsidRPr="475C74B4">
        <w:rPr>
          <w:rFonts w:ascii="Times New Roman" w:eastAsia="Times New Roman" w:hAnsi="Times New Roman" w:cs="Times New Roman"/>
          <w:b/>
          <w:bCs/>
          <w:i/>
          <w:iCs/>
          <w:sz w:val="20"/>
          <w:szCs w:val="20"/>
        </w:rPr>
        <w:t xml:space="preserve">It shall be the responsibility of committee chairs to monitor their committee membership’s status and any vacancies (whether occurring by repeated absence, leave of absence, </w:t>
      </w:r>
      <w:proofErr w:type="gramStart"/>
      <w:r w:rsidRPr="475C74B4">
        <w:rPr>
          <w:rFonts w:ascii="Times New Roman" w:eastAsia="Times New Roman" w:hAnsi="Times New Roman" w:cs="Times New Roman"/>
          <w:b/>
          <w:bCs/>
          <w:i/>
          <w:iCs/>
          <w:sz w:val="20"/>
          <w:szCs w:val="20"/>
        </w:rPr>
        <w:t>resignation</w:t>
      </w:r>
      <w:proofErr w:type="gramEnd"/>
      <w:r w:rsidRPr="475C74B4">
        <w:rPr>
          <w:rFonts w:ascii="Times New Roman" w:eastAsia="Times New Roman" w:hAnsi="Times New Roman" w:cs="Times New Roman"/>
          <w:b/>
          <w:bCs/>
          <w:i/>
          <w:iCs/>
          <w:sz w:val="20"/>
          <w:szCs w:val="20"/>
        </w:rPr>
        <w:t xml:space="preserve"> or retirement), and promptly report any occurring vacancies to the Senate leadership.</w:t>
      </w:r>
    </w:p>
    <w:p w14:paraId="53CBA58C" w14:textId="14F2B677" w:rsidR="00FE6682" w:rsidRDefault="641F9515">
      <w:r w:rsidRPr="475C74B4">
        <w:rPr>
          <w:rFonts w:ascii="Times New Roman" w:eastAsia="Times New Roman" w:hAnsi="Times New Roman" w:cs="Times New Roman"/>
          <w:b/>
          <w:bCs/>
          <w:sz w:val="20"/>
          <w:szCs w:val="20"/>
        </w:rPr>
        <w:t xml:space="preserve">Email completed reports to </w:t>
      </w:r>
      <w:hyperlink r:id="rId5">
        <w:r w:rsidRPr="475C74B4">
          <w:rPr>
            <w:rStyle w:val="Hyperlink"/>
            <w:rFonts w:ascii="Times New Roman" w:eastAsia="Times New Roman" w:hAnsi="Times New Roman" w:cs="Times New Roman"/>
            <w:b/>
            <w:bCs/>
            <w:sz w:val="20"/>
            <w:szCs w:val="20"/>
          </w:rPr>
          <w:t>facultysenate@unt.edu</w:t>
        </w:r>
      </w:hyperlink>
      <w:r w:rsidRPr="475C74B4">
        <w:rPr>
          <w:rFonts w:ascii="Times New Roman" w:eastAsia="Times New Roman" w:hAnsi="Times New Roman" w:cs="Times New Roman"/>
          <w:b/>
          <w:bCs/>
          <w:sz w:val="20"/>
          <w:szCs w:val="20"/>
        </w:rPr>
        <w:t xml:space="preserve">. </w:t>
      </w:r>
      <w:r>
        <w:tab/>
      </w:r>
      <w:r>
        <w:tab/>
      </w:r>
      <w:r>
        <w:tab/>
      </w:r>
      <w:r>
        <w:tab/>
      </w:r>
      <w:r>
        <w:tab/>
      </w:r>
      <w:r w:rsidRPr="475C74B4">
        <w:rPr>
          <w:rFonts w:ascii="Times New Roman" w:eastAsia="Times New Roman" w:hAnsi="Times New Roman" w:cs="Times New Roman"/>
          <w:b/>
          <w:bCs/>
          <w:sz w:val="20"/>
          <w:szCs w:val="20"/>
        </w:rPr>
        <w:t>Rev. 11-2021</w:t>
      </w:r>
    </w:p>
    <w:p w14:paraId="1C9FB2CB" w14:textId="4482A6B2" w:rsidR="00FE6682" w:rsidRDefault="641F9515">
      <w:r w:rsidRPr="0B578604">
        <w:rPr>
          <w:rFonts w:ascii="Times New Roman" w:eastAsia="Times New Roman" w:hAnsi="Times New Roman" w:cs="Times New Roman"/>
          <w:b/>
          <w:bCs/>
          <w:color w:val="FF0000"/>
          <w:sz w:val="24"/>
          <w:szCs w:val="24"/>
        </w:rPr>
        <w:t>*****************************************************************************</w:t>
      </w:r>
    </w:p>
    <w:p w14:paraId="55AF8B77" w14:textId="37E52D82" w:rsidR="00FE6682" w:rsidRDefault="641F9515" w:rsidP="475C74B4">
      <w:pPr>
        <w:spacing w:line="480" w:lineRule="auto"/>
      </w:pPr>
      <w:r w:rsidRPr="475C74B4">
        <w:rPr>
          <w:rFonts w:ascii="Arial Narrow" w:eastAsia="Arial Narrow" w:hAnsi="Arial Narrow" w:cs="Arial Narrow"/>
          <w:b/>
          <w:bCs/>
          <w:i/>
          <w:iCs/>
          <w:sz w:val="28"/>
          <w:szCs w:val="28"/>
        </w:rPr>
        <w:t>Report to the Faculty Senate Executive Committee</w:t>
      </w:r>
      <w:r>
        <w:tab/>
      </w:r>
      <w:r>
        <w:tab/>
      </w:r>
      <w:r w:rsidRPr="475C74B4">
        <w:rPr>
          <w:rFonts w:ascii="Arial Narrow" w:eastAsia="Arial Narrow" w:hAnsi="Arial Narrow" w:cs="Arial Narrow"/>
          <w:b/>
          <w:bCs/>
          <w:i/>
          <w:iCs/>
          <w:sz w:val="28"/>
          <w:szCs w:val="28"/>
        </w:rPr>
        <w:t xml:space="preserve">Date: </w:t>
      </w:r>
    </w:p>
    <w:p w14:paraId="72946C15" w14:textId="6E7F4CDC" w:rsidR="00FE6682" w:rsidRDefault="641F9515" w:rsidP="475C74B4">
      <w:r w:rsidRPr="475C74B4">
        <w:rPr>
          <w:rFonts w:ascii="Arial Narrow" w:eastAsia="Arial Narrow" w:hAnsi="Arial Narrow" w:cs="Arial Narrow"/>
          <w:b/>
          <w:bCs/>
        </w:rPr>
        <w:t xml:space="preserve">“x” or circle:      </w:t>
      </w:r>
      <w:proofErr w:type="gramStart"/>
      <w:r>
        <w:tab/>
      </w:r>
      <w:r w:rsidRPr="475C74B4">
        <w:rPr>
          <w:rFonts w:ascii="Arial Narrow" w:eastAsia="Arial Narrow" w:hAnsi="Arial Narrow" w:cs="Arial Narrow"/>
          <w:b/>
          <w:bCs/>
        </w:rPr>
        <w:t xml:space="preserve"> </w:t>
      </w:r>
      <w:r w:rsidR="470F2D0E" w:rsidRPr="475C74B4">
        <w:rPr>
          <w:rFonts w:ascii="Arial Narrow" w:eastAsia="Arial Narrow" w:hAnsi="Arial Narrow" w:cs="Arial Narrow"/>
          <w:b/>
          <w:bCs/>
        </w:rPr>
        <w:t xml:space="preserve"> X</w:t>
      </w:r>
      <w:proofErr w:type="gramEnd"/>
      <w:r w:rsidR="470F2D0E" w:rsidRPr="475C74B4">
        <w:rPr>
          <w:rFonts w:ascii="Arial Narrow" w:eastAsia="Arial Narrow" w:hAnsi="Arial Narrow" w:cs="Arial Narrow"/>
          <w:b/>
          <w:bCs/>
        </w:rPr>
        <w:t xml:space="preserve"> </w:t>
      </w:r>
      <w:r w:rsidRPr="475C74B4">
        <w:rPr>
          <w:rFonts w:ascii="Arial Narrow" w:eastAsia="Arial Narrow" w:hAnsi="Arial Narrow" w:cs="Arial Narrow"/>
          <w:b/>
          <w:bCs/>
        </w:rPr>
        <w:t xml:space="preserve">Mid-year report                         </w:t>
      </w:r>
      <w:r w:rsidRPr="475C74B4">
        <w:rPr>
          <w:rFonts w:ascii="Arial Narrow" w:eastAsia="Arial Narrow" w:hAnsi="Arial Narrow" w:cs="Arial Narrow"/>
          <w:u w:val="single"/>
        </w:rPr>
        <w:t>_________</w:t>
      </w:r>
      <w:r w:rsidRPr="475C74B4">
        <w:rPr>
          <w:rFonts w:ascii="Arial Narrow" w:eastAsia="Arial Narrow" w:hAnsi="Arial Narrow" w:cs="Arial Narrow"/>
        </w:rPr>
        <w:t xml:space="preserve"> </w:t>
      </w:r>
      <w:r w:rsidRPr="475C74B4">
        <w:rPr>
          <w:rFonts w:ascii="Arial Narrow" w:eastAsia="Arial Narrow" w:hAnsi="Arial Narrow" w:cs="Arial Narrow"/>
          <w:b/>
          <w:bCs/>
        </w:rPr>
        <w:t>Year-end report</w:t>
      </w:r>
    </w:p>
    <w:p w14:paraId="04008BEF" w14:textId="008C0DE4" w:rsidR="00FE6682" w:rsidRDefault="641F9515">
      <w:r w:rsidRPr="475C74B4">
        <w:rPr>
          <w:rFonts w:ascii="Arial Narrow" w:eastAsia="Arial Narrow" w:hAnsi="Arial Narrow" w:cs="Arial Narrow"/>
          <w:b/>
          <w:bCs/>
        </w:rPr>
        <w:t xml:space="preserve"> </w:t>
      </w:r>
    </w:p>
    <w:p w14:paraId="4E2A8446" w14:textId="68FEA331" w:rsidR="00FE6682" w:rsidRDefault="641F9515" w:rsidP="475C74B4">
      <w:pPr>
        <w:spacing w:line="480" w:lineRule="auto"/>
        <w:rPr>
          <w:rFonts w:ascii="Arial Narrow" w:eastAsia="Arial Narrow" w:hAnsi="Arial Narrow" w:cs="Arial Narrow"/>
        </w:rPr>
      </w:pPr>
      <w:r w:rsidRPr="475C74B4">
        <w:rPr>
          <w:rFonts w:ascii="Arial Narrow" w:eastAsia="Arial Narrow" w:hAnsi="Arial Narrow" w:cs="Arial Narrow"/>
          <w:b/>
          <w:bCs/>
        </w:rPr>
        <w:t>Committee Name</w:t>
      </w:r>
      <w:r w:rsidRPr="475C74B4">
        <w:rPr>
          <w:rFonts w:ascii="Arial Narrow" w:eastAsia="Arial Narrow" w:hAnsi="Arial Narrow" w:cs="Arial Narrow"/>
        </w:rPr>
        <w:t>:</w:t>
      </w:r>
      <w:r>
        <w:tab/>
      </w:r>
      <w:r w:rsidRPr="475C74B4">
        <w:rPr>
          <w:rFonts w:ascii="Arial Narrow" w:eastAsia="Arial Narrow" w:hAnsi="Arial Narrow" w:cs="Arial Narrow"/>
        </w:rPr>
        <w:t>Oversight Committee on the Core Curriculum</w:t>
      </w:r>
    </w:p>
    <w:p w14:paraId="6CE74B48" w14:textId="5FC2B6F8" w:rsidR="00FE6682" w:rsidRDefault="641F9515" w:rsidP="475C74B4">
      <w:pPr>
        <w:spacing w:line="480" w:lineRule="auto"/>
        <w:rPr>
          <w:rFonts w:ascii="Arial Narrow" w:eastAsia="Arial Narrow" w:hAnsi="Arial Narrow" w:cs="Arial Narrow"/>
          <w:b/>
          <w:bCs/>
        </w:rPr>
      </w:pPr>
      <w:r w:rsidRPr="475C74B4">
        <w:rPr>
          <w:rFonts w:ascii="Arial Narrow" w:eastAsia="Arial Narrow" w:hAnsi="Arial Narrow" w:cs="Arial Narrow"/>
          <w:b/>
          <w:bCs/>
        </w:rPr>
        <w:t xml:space="preserve">Chair or Co-Chairs: </w:t>
      </w:r>
      <w:r w:rsidRPr="475C74B4">
        <w:rPr>
          <w:rFonts w:ascii="Arial Narrow" w:eastAsia="Arial Narrow" w:hAnsi="Arial Narrow" w:cs="Arial Narrow"/>
        </w:rPr>
        <w:t>Courtney Glazer (Administ</w:t>
      </w:r>
      <w:r w:rsidR="20ADAD2D" w:rsidRPr="475C74B4">
        <w:rPr>
          <w:rFonts w:ascii="Arial Narrow" w:eastAsia="Arial Narrow" w:hAnsi="Arial Narrow" w:cs="Arial Narrow"/>
        </w:rPr>
        <w:t>rative Co-Chair); April Prince (Faculty Co-Chair)</w:t>
      </w:r>
    </w:p>
    <w:p w14:paraId="26296E74" w14:textId="104BA563" w:rsidR="00FE6682" w:rsidRDefault="7165F373" w:rsidP="475C74B4">
      <w:pPr>
        <w:spacing w:line="480" w:lineRule="auto"/>
      </w:pPr>
      <w:r w:rsidRPr="16249C1B">
        <w:rPr>
          <w:rFonts w:ascii="Arial Narrow" w:eastAsia="Arial Narrow" w:hAnsi="Arial Narrow" w:cs="Arial Narrow"/>
          <w:b/>
          <w:bCs/>
        </w:rPr>
        <w:t>Meetings for the term/year:</w:t>
      </w:r>
      <w:r w:rsidRPr="16249C1B">
        <w:rPr>
          <w:rFonts w:ascii="Arial Narrow" w:eastAsia="Arial Narrow" w:hAnsi="Arial Narrow" w:cs="Arial Narrow"/>
        </w:rPr>
        <w:t xml:space="preserve"> </w:t>
      </w:r>
      <w:r w:rsidR="008F5644">
        <w:rPr>
          <w:rFonts w:ascii="Arial Narrow" w:eastAsia="Arial Narrow" w:hAnsi="Arial Narrow" w:cs="Arial Narrow"/>
        </w:rPr>
        <w:t xml:space="preserve">3 – </w:t>
      </w:r>
      <w:r w:rsidR="48A42241" w:rsidRPr="16249C1B">
        <w:rPr>
          <w:rFonts w:ascii="Arial Narrow" w:eastAsia="Arial Narrow" w:hAnsi="Arial Narrow" w:cs="Arial Narrow"/>
        </w:rPr>
        <w:t>9/</w:t>
      </w:r>
      <w:r w:rsidR="008F5644">
        <w:rPr>
          <w:rFonts w:ascii="Arial Narrow" w:eastAsia="Arial Narrow" w:hAnsi="Arial Narrow" w:cs="Arial Narrow"/>
        </w:rPr>
        <w:t>8</w:t>
      </w:r>
      <w:r w:rsidR="48A42241" w:rsidRPr="16249C1B">
        <w:rPr>
          <w:rFonts w:ascii="Arial Narrow" w:eastAsia="Arial Narrow" w:hAnsi="Arial Narrow" w:cs="Arial Narrow"/>
        </w:rPr>
        <w:t>/2</w:t>
      </w:r>
      <w:r w:rsidR="008F5644">
        <w:rPr>
          <w:rFonts w:ascii="Arial Narrow" w:eastAsia="Arial Narrow" w:hAnsi="Arial Narrow" w:cs="Arial Narrow"/>
        </w:rPr>
        <w:t>3</w:t>
      </w:r>
      <w:r w:rsidR="48A42241" w:rsidRPr="16249C1B">
        <w:rPr>
          <w:rFonts w:ascii="Arial Narrow" w:eastAsia="Arial Narrow" w:hAnsi="Arial Narrow" w:cs="Arial Narrow"/>
        </w:rPr>
        <w:t>, 10/1</w:t>
      </w:r>
      <w:r w:rsidR="008F5644">
        <w:rPr>
          <w:rFonts w:ascii="Arial Narrow" w:eastAsia="Arial Narrow" w:hAnsi="Arial Narrow" w:cs="Arial Narrow"/>
        </w:rPr>
        <w:t>3</w:t>
      </w:r>
      <w:r w:rsidR="48A42241" w:rsidRPr="16249C1B">
        <w:rPr>
          <w:rFonts w:ascii="Arial Narrow" w:eastAsia="Arial Narrow" w:hAnsi="Arial Narrow" w:cs="Arial Narrow"/>
        </w:rPr>
        <w:t>/2</w:t>
      </w:r>
      <w:r w:rsidR="008F5644">
        <w:rPr>
          <w:rFonts w:ascii="Arial Narrow" w:eastAsia="Arial Narrow" w:hAnsi="Arial Narrow" w:cs="Arial Narrow"/>
        </w:rPr>
        <w:t>3</w:t>
      </w:r>
      <w:r w:rsidR="48A42241" w:rsidRPr="16249C1B">
        <w:rPr>
          <w:rFonts w:ascii="Arial Narrow" w:eastAsia="Arial Narrow" w:hAnsi="Arial Narrow" w:cs="Arial Narrow"/>
        </w:rPr>
        <w:t>, 11/1</w:t>
      </w:r>
      <w:r w:rsidR="008F5644">
        <w:rPr>
          <w:rFonts w:ascii="Arial Narrow" w:eastAsia="Arial Narrow" w:hAnsi="Arial Narrow" w:cs="Arial Narrow"/>
        </w:rPr>
        <w:t>0</w:t>
      </w:r>
      <w:r w:rsidR="48A42241" w:rsidRPr="16249C1B">
        <w:rPr>
          <w:rFonts w:ascii="Arial Narrow" w:eastAsia="Arial Narrow" w:hAnsi="Arial Narrow" w:cs="Arial Narrow"/>
        </w:rPr>
        <w:t>/2</w:t>
      </w:r>
      <w:r w:rsidR="008F5644">
        <w:rPr>
          <w:rFonts w:ascii="Arial Narrow" w:eastAsia="Arial Narrow" w:hAnsi="Arial Narrow" w:cs="Arial Narrow"/>
        </w:rPr>
        <w:t>3</w:t>
      </w:r>
    </w:p>
    <w:p w14:paraId="0BC27A78" w14:textId="358127E1" w:rsidR="00FE6682" w:rsidRDefault="7165F373">
      <w:r w:rsidRPr="16249C1B">
        <w:rPr>
          <w:rFonts w:ascii="Arial Narrow" w:eastAsia="Arial Narrow" w:hAnsi="Arial Narrow" w:cs="Arial Narrow"/>
          <w:b/>
          <w:bCs/>
        </w:rPr>
        <w:t>Membership and Attendance</w:t>
      </w:r>
      <w:r w:rsidRPr="16249C1B">
        <w:rPr>
          <w:rFonts w:ascii="Arial Narrow" w:eastAsia="Arial Narrow" w:hAnsi="Arial Narrow" w:cs="Arial Narrow"/>
        </w:rPr>
        <w:t xml:space="preserve"> (year-to-date attendance record):</w:t>
      </w:r>
    </w:p>
    <w:p w14:paraId="576E5A01" w14:textId="75E16DAA" w:rsidR="11643B61" w:rsidRDefault="731F473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Sophie Morton (I)</w:t>
      </w:r>
      <w:r w:rsidR="11643B61">
        <w:tab/>
      </w:r>
      <w:r w:rsidR="11643B61">
        <w:tab/>
      </w:r>
      <w:r w:rsidR="00846779">
        <w:rPr>
          <w:rFonts w:ascii="Arial Narrow" w:eastAsia="Arial Narrow" w:hAnsi="Arial Narrow" w:cs="Arial Narrow"/>
          <w:color w:val="000000" w:themeColor="text1"/>
        </w:rPr>
        <w:t>3 of 3</w:t>
      </w:r>
    </w:p>
    <w:p w14:paraId="34AA9D28" w14:textId="3E2D0D8E" w:rsidR="11643B61" w:rsidRDefault="731F473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David Shiner (III)</w:t>
      </w:r>
      <w:r w:rsidR="11643B61">
        <w:tab/>
      </w:r>
      <w:r w:rsidR="11643B61">
        <w:tab/>
      </w:r>
      <w:r w:rsidRPr="16249C1B">
        <w:rPr>
          <w:rFonts w:ascii="Arial Narrow" w:eastAsia="Arial Narrow" w:hAnsi="Arial Narrow" w:cs="Arial Narrow"/>
          <w:color w:val="000000" w:themeColor="text1"/>
        </w:rPr>
        <w:t xml:space="preserve">2 of </w:t>
      </w:r>
      <w:r w:rsidR="00846779">
        <w:rPr>
          <w:rFonts w:ascii="Arial Narrow" w:eastAsia="Arial Narrow" w:hAnsi="Arial Narrow" w:cs="Arial Narrow"/>
          <w:color w:val="000000" w:themeColor="text1"/>
        </w:rPr>
        <w:t>3</w:t>
      </w:r>
    </w:p>
    <w:p w14:paraId="18B0C236" w14:textId="7B65A6E0" w:rsidR="00846779" w:rsidRDefault="00846779" w:rsidP="16249C1B">
      <w:pPr>
        <w:rPr>
          <w:rFonts w:ascii="Arial Narrow" w:eastAsia="Arial Narrow" w:hAnsi="Arial Narrow" w:cs="Arial Narrow"/>
          <w:color w:val="000000" w:themeColor="text1"/>
        </w:rPr>
      </w:pPr>
      <w:r>
        <w:rPr>
          <w:rFonts w:ascii="Arial Narrow" w:eastAsia="Arial Narrow" w:hAnsi="Arial Narrow" w:cs="Arial Narrow"/>
          <w:color w:val="000000" w:themeColor="text1"/>
        </w:rPr>
        <w:t>Ann Marie Afflerbach (IV)</w:t>
      </w:r>
      <w:r>
        <w:rPr>
          <w:rFonts w:ascii="Arial Narrow" w:eastAsia="Arial Narrow" w:hAnsi="Arial Narrow" w:cs="Arial Narrow"/>
          <w:color w:val="000000" w:themeColor="text1"/>
        </w:rPr>
        <w:tab/>
      </w:r>
      <w:r>
        <w:rPr>
          <w:rFonts w:ascii="Arial Narrow" w:eastAsia="Arial Narrow" w:hAnsi="Arial Narrow" w:cs="Arial Narrow"/>
          <w:color w:val="000000" w:themeColor="text1"/>
        </w:rPr>
        <w:t>3 of 3</w:t>
      </w:r>
    </w:p>
    <w:p w14:paraId="4C275F98" w14:textId="22FB2D8A" w:rsidR="00846779" w:rsidRDefault="00846779" w:rsidP="00846779">
      <w:pPr>
        <w:rPr>
          <w:rFonts w:ascii="Arial Narrow" w:eastAsia="Arial Narrow" w:hAnsi="Arial Narrow" w:cs="Arial Narrow"/>
          <w:color w:val="000000" w:themeColor="text1"/>
        </w:rPr>
      </w:pPr>
      <w:proofErr w:type="spellStart"/>
      <w:r w:rsidRPr="16249C1B">
        <w:rPr>
          <w:rFonts w:ascii="Arial Narrow" w:eastAsia="Arial Narrow" w:hAnsi="Arial Narrow" w:cs="Arial Narrow"/>
          <w:color w:val="000000" w:themeColor="text1"/>
        </w:rPr>
        <w:t>Chalam</w:t>
      </w:r>
      <w:proofErr w:type="spellEnd"/>
      <w:r w:rsidRPr="16249C1B">
        <w:rPr>
          <w:rFonts w:ascii="Arial Narrow" w:eastAsia="Arial Narrow" w:hAnsi="Arial Narrow" w:cs="Arial Narrow"/>
          <w:color w:val="000000" w:themeColor="text1"/>
        </w:rPr>
        <w:t xml:space="preserve"> </w:t>
      </w:r>
      <w:proofErr w:type="spellStart"/>
      <w:r w:rsidRPr="16249C1B">
        <w:rPr>
          <w:rFonts w:ascii="Arial Narrow" w:eastAsia="Arial Narrow" w:hAnsi="Arial Narrow" w:cs="Arial Narrow"/>
          <w:color w:val="000000" w:themeColor="text1"/>
        </w:rPr>
        <w:t>Naryanan</w:t>
      </w:r>
      <w:proofErr w:type="spellEnd"/>
      <w:r w:rsidRPr="16249C1B">
        <w:rPr>
          <w:rFonts w:ascii="Arial Narrow" w:eastAsia="Arial Narrow" w:hAnsi="Arial Narrow" w:cs="Arial Narrow"/>
          <w:color w:val="000000" w:themeColor="text1"/>
        </w:rPr>
        <w:t xml:space="preserve"> (V)</w:t>
      </w:r>
      <w:r>
        <w:tab/>
      </w:r>
      <w:r>
        <w:rPr>
          <w:rFonts w:ascii="Arial Narrow" w:eastAsia="Arial Narrow" w:hAnsi="Arial Narrow" w:cs="Arial Narrow"/>
          <w:color w:val="000000" w:themeColor="text1"/>
        </w:rPr>
        <w:t xml:space="preserve">2 </w:t>
      </w:r>
      <w:r w:rsidRPr="16249C1B">
        <w:rPr>
          <w:rFonts w:ascii="Arial Narrow" w:eastAsia="Arial Narrow" w:hAnsi="Arial Narrow" w:cs="Arial Narrow"/>
          <w:color w:val="000000" w:themeColor="text1"/>
        </w:rPr>
        <w:t xml:space="preserve">of </w:t>
      </w:r>
      <w:r>
        <w:rPr>
          <w:rFonts w:ascii="Arial Narrow" w:eastAsia="Arial Narrow" w:hAnsi="Arial Narrow" w:cs="Arial Narrow"/>
          <w:color w:val="000000" w:themeColor="text1"/>
        </w:rPr>
        <w:t>3 (1 excused)</w:t>
      </w:r>
    </w:p>
    <w:p w14:paraId="142D2C0F" w14:textId="67083DCE" w:rsidR="11643B61" w:rsidRDefault="731F473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Calvin Sims (V</w:t>
      </w:r>
      <w:r w:rsidR="00846779">
        <w:rPr>
          <w:rFonts w:ascii="Arial Narrow" w:eastAsia="Arial Narrow" w:hAnsi="Arial Narrow" w:cs="Arial Narrow"/>
          <w:color w:val="000000" w:themeColor="text1"/>
        </w:rPr>
        <w:t>I</w:t>
      </w:r>
      <w:r w:rsidRPr="16249C1B">
        <w:rPr>
          <w:rFonts w:ascii="Arial Narrow" w:eastAsia="Arial Narrow" w:hAnsi="Arial Narrow" w:cs="Arial Narrow"/>
          <w:color w:val="000000" w:themeColor="text1"/>
        </w:rPr>
        <w:t>)</w:t>
      </w:r>
      <w:r w:rsidR="11643B61">
        <w:tab/>
      </w:r>
      <w:r w:rsidR="11643B61">
        <w:tab/>
      </w:r>
      <w:r w:rsidR="00846779">
        <w:rPr>
          <w:rFonts w:ascii="Arial Narrow" w:eastAsia="Arial Narrow" w:hAnsi="Arial Narrow" w:cs="Arial Narrow"/>
          <w:color w:val="000000" w:themeColor="text1"/>
        </w:rPr>
        <w:t>1 of</w:t>
      </w:r>
      <w:r w:rsidRPr="16249C1B">
        <w:rPr>
          <w:rFonts w:ascii="Arial Narrow" w:eastAsia="Arial Narrow" w:hAnsi="Arial Narrow" w:cs="Arial Narrow"/>
          <w:color w:val="000000" w:themeColor="text1"/>
        </w:rPr>
        <w:t xml:space="preserve"> 3 </w:t>
      </w:r>
    </w:p>
    <w:p w14:paraId="01F45FEB" w14:textId="7D7DCDA0" w:rsidR="00846779" w:rsidRDefault="00846779" w:rsidP="16249C1B">
      <w:pPr>
        <w:rPr>
          <w:rFonts w:ascii="Arial Narrow" w:eastAsia="Arial Narrow" w:hAnsi="Arial Narrow" w:cs="Arial Narrow"/>
          <w:color w:val="000000" w:themeColor="text1"/>
        </w:rPr>
      </w:pPr>
      <w:r>
        <w:rPr>
          <w:rFonts w:ascii="Arial Narrow" w:eastAsia="Arial Narrow" w:hAnsi="Arial Narrow" w:cs="Arial Narrow"/>
          <w:color w:val="000000" w:themeColor="text1"/>
        </w:rPr>
        <w:t>Paula Garland (VII)</w:t>
      </w:r>
      <w:r>
        <w:rPr>
          <w:rFonts w:ascii="Arial Narrow" w:eastAsia="Arial Narrow" w:hAnsi="Arial Narrow" w:cs="Arial Narrow"/>
          <w:color w:val="000000" w:themeColor="text1"/>
        </w:rPr>
        <w:tab/>
        <w:t>2 of 3</w:t>
      </w:r>
    </w:p>
    <w:p w14:paraId="6F7A4ACA" w14:textId="29F744DC" w:rsidR="11643B61" w:rsidRDefault="731F473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April Prince (VIII)</w:t>
      </w:r>
      <w:r w:rsidR="11643B61">
        <w:tab/>
      </w:r>
      <w:r w:rsidR="11643B61">
        <w:tab/>
      </w:r>
      <w:r w:rsidR="00846779">
        <w:rPr>
          <w:rFonts w:ascii="Arial Narrow" w:eastAsia="Arial Narrow" w:hAnsi="Arial Narrow" w:cs="Arial Narrow"/>
          <w:color w:val="000000" w:themeColor="text1"/>
        </w:rPr>
        <w:t>3 of 3</w:t>
      </w:r>
    </w:p>
    <w:p w14:paraId="69C24CBA" w14:textId="5B27AE15" w:rsidR="11643B61" w:rsidRDefault="00846779" w:rsidP="16249C1B">
      <w:pPr>
        <w:rPr>
          <w:rFonts w:ascii="Arial Narrow" w:eastAsia="Arial Narrow" w:hAnsi="Arial Narrow" w:cs="Arial Narrow"/>
          <w:color w:val="000000" w:themeColor="text1"/>
        </w:rPr>
      </w:pPr>
      <w:r>
        <w:rPr>
          <w:rFonts w:ascii="Arial Narrow" w:eastAsia="Arial Narrow" w:hAnsi="Arial Narrow" w:cs="Arial Narrow"/>
          <w:color w:val="000000" w:themeColor="text1"/>
        </w:rPr>
        <w:t xml:space="preserve">Mark Evers </w:t>
      </w:r>
      <w:r w:rsidR="731F4731" w:rsidRPr="16249C1B">
        <w:rPr>
          <w:rFonts w:ascii="Arial Narrow" w:eastAsia="Arial Narrow" w:hAnsi="Arial Narrow" w:cs="Arial Narrow"/>
          <w:color w:val="000000" w:themeColor="text1"/>
        </w:rPr>
        <w:t>(AL)</w:t>
      </w:r>
      <w:r w:rsidR="11643B61">
        <w:tab/>
      </w:r>
      <w:r>
        <w:tab/>
      </w:r>
      <w:r>
        <w:rPr>
          <w:rFonts w:ascii="Arial Narrow" w:eastAsia="Arial Narrow" w:hAnsi="Arial Narrow" w:cs="Arial Narrow"/>
          <w:color w:val="000000" w:themeColor="text1"/>
        </w:rPr>
        <w:t xml:space="preserve">2 </w:t>
      </w:r>
      <w:r w:rsidRPr="16249C1B">
        <w:rPr>
          <w:rFonts w:ascii="Arial Narrow" w:eastAsia="Arial Narrow" w:hAnsi="Arial Narrow" w:cs="Arial Narrow"/>
          <w:color w:val="000000" w:themeColor="text1"/>
        </w:rPr>
        <w:t xml:space="preserve">of </w:t>
      </w:r>
      <w:r>
        <w:rPr>
          <w:rFonts w:ascii="Arial Narrow" w:eastAsia="Arial Narrow" w:hAnsi="Arial Narrow" w:cs="Arial Narrow"/>
          <w:color w:val="000000" w:themeColor="text1"/>
        </w:rPr>
        <w:t>3 (1 excused)</w:t>
      </w:r>
    </w:p>
    <w:p w14:paraId="15494BE8" w14:textId="77777777" w:rsidR="00846779" w:rsidRDefault="731F473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Tim Hawkins (AL)</w:t>
      </w:r>
      <w:r w:rsidR="11643B61">
        <w:tab/>
      </w:r>
      <w:r w:rsidRPr="16249C1B">
        <w:rPr>
          <w:rFonts w:ascii="Arial Narrow" w:eastAsia="Arial Narrow" w:hAnsi="Arial Narrow" w:cs="Arial Narrow"/>
          <w:color w:val="000000" w:themeColor="text1"/>
        </w:rPr>
        <w:t xml:space="preserve"> </w:t>
      </w:r>
      <w:r w:rsidR="00846779">
        <w:rPr>
          <w:rFonts w:ascii="Arial Narrow" w:eastAsia="Arial Narrow" w:hAnsi="Arial Narrow" w:cs="Arial Narrow"/>
          <w:color w:val="000000" w:themeColor="text1"/>
        </w:rPr>
        <w:tab/>
      </w:r>
      <w:r w:rsidR="00846779">
        <w:rPr>
          <w:rFonts w:ascii="Arial Narrow" w:eastAsia="Arial Narrow" w:hAnsi="Arial Narrow" w:cs="Arial Narrow"/>
          <w:color w:val="000000" w:themeColor="text1"/>
        </w:rPr>
        <w:t xml:space="preserve">2 </w:t>
      </w:r>
      <w:r w:rsidR="00846779" w:rsidRPr="16249C1B">
        <w:rPr>
          <w:rFonts w:ascii="Arial Narrow" w:eastAsia="Arial Narrow" w:hAnsi="Arial Narrow" w:cs="Arial Narrow"/>
          <w:color w:val="000000" w:themeColor="text1"/>
        </w:rPr>
        <w:t xml:space="preserve">of </w:t>
      </w:r>
      <w:r w:rsidR="00846779">
        <w:rPr>
          <w:rFonts w:ascii="Arial Narrow" w:eastAsia="Arial Narrow" w:hAnsi="Arial Narrow" w:cs="Arial Narrow"/>
          <w:color w:val="000000" w:themeColor="text1"/>
        </w:rPr>
        <w:t>3 (1 excused)</w:t>
      </w:r>
    </w:p>
    <w:p w14:paraId="20B07DF4" w14:textId="4FF716E5" w:rsidR="11643B61" w:rsidRDefault="00846779" w:rsidP="16249C1B">
      <w:pPr>
        <w:rPr>
          <w:rFonts w:ascii="Arial Narrow" w:eastAsia="Arial Narrow" w:hAnsi="Arial Narrow" w:cs="Arial Narrow"/>
          <w:color w:val="000000" w:themeColor="text1"/>
        </w:rPr>
      </w:pPr>
      <w:r>
        <w:rPr>
          <w:rFonts w:ascii="Arial Narrow" w:eastAsia="Arial Narrow" w:hAnsi="Arial Narrow" w:cs="Arial Narrow"/>
          <w:color w:val="000000" w:themeColor="text1"/>
        </w:rPr>
        <w:t>Majed Yaghi</w:t>
      </w:r>
      <w:r w:rsidR="731F4731" w:rsidRPr="16249C1B">
        <w:rPr>
          <w:rFonts w:ascii="Arial Narrow" w:eastAsia="Arial Narrow" w:hAnsi="Arial Narrow" w:cs="Arial Narrow"/>
          <w:color w:val="000000" w:themeColor="text1"/>
        </w:rPr>
        <w:t xml:space="preserve"> (AL)</w:t>
      </w:r>
      <w:r w:rsidR="11643B61">
        <w:tab/>
      </w:r>
      <w:r>
        <w:tab/>
      </w:r>
      <w:r>
        <w:rPr>
          <w:rFonts w:ascii="Arial Narrow" w:eastAsia="Arial Narrow" w:hAnsi="Arial Narrow" w:cs="Arial Narrow"/>
          <w:color w:val="000000" w:themeColor="text1"/>
        </w:rPr>
        <w:t xml:space="preserve">2 </w:t>
      </w:r>
      <w:r w:rsidRPr="16249C1B">
        <w:rPr>
          <w:rFonts w:ascii="Arial Narrow" w:eastAsia="Arial Narrow" w:hAnsi="Arial Narrow" w:cs="Arial Narrow"/>
          <w:color w:val="000000" w:themeColor="text1"/>
        </w:rPr>
        <w:t xml:space="preserve">of </w:t>
      </w:r>
      <w:r>
        <w:rPr>
          <w:rFonts w:ascii="Arial Narrow" w:eastAsia="Arial Narrow" w:hAnsi="Arial Narrow" w:cs="Arial Narrow"/>
          <w:color w:val="000000" w:themeColor="text1"/>
        </w:rPr>
        <w:t>3 (1 excused)</w:t>
      </w:r>
    </w:p>
    <w:p w14:paraId="6CBEC25E" w14:textId="0322078B" w:rsidR="11643B61" w:rsidRDefault="7528410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Courtney Glazer (admin)</w:t>
      </w:r>
      <w:r w:rsidR="11643B61">
        <w:tab/>
      </w:r>
      <w:r w:rsidR="00846779">
        <w:rPr>
          <w:rFonts w:ascii="Arial Narrow" w:eastAsia="Arial Narrow" w:hAnsi="Arial Narrow" w:cs="Arial Narrow"/>
          <w:color w:val="000000" w:themeColor="text1"/>
        </w:rPr>
        <w:t>3 of 3</w:t>
      </w:r>
    </w:p>
    <w:p w14:paraId="7E95631D" w14:textId="1D0599DE" w:rsidR="11643B61" w:rsidRDefault="75284101" w:rsidP="16249C1B">
      <w:pPr>
        <w:rPr>
          <w:rFonts w:ascii="Arial Narrow" w:eastAsia="Arial Narrow" w:hAnsi="Arial Narrow" w:cs="Arial Narrow"/>
          <w:color w:val="000000" w:themeColor="text1"/>
        </w:rPr>
      </w:pPr>
      <w:r w:rsidRPr="16249C1B">
        <w:rPr>
          <w:rFonts w:ascii="Arial Narrow" w:eastAsia="Arial Narrow" w:hAnsi="Arial Narrow" w:cs="Arial Narrow"/>
          <w:color w:val="000000" w:themeColor="text1"/>
        </w:rPr>
        <w:t>VACANT (II)</w:t>
      </w:r>
    </w:p>
    <w:p w14:paraId="24A711F8" w14:textId="77777777" w:rsidR="008F5644" w:rsidRDefault="008F5644">
      <w:pPr>
        <w:rPr>
          <w:rFonts w:ascii="Arial Narrow" w:eastAsia="Arial Narrow" w:hAnsi="Arial Narrow" w:cs="Arial Narrow"/>
          <w:b/>
          <w:bCs/>
        </w:rPr>
      </w:pPr>
    </w:p>
    <w:p w14:paraId="7B7B41DB" w14:textId="1090F8D7" w:rsidR="00FE6682" w:rsidRDefault="7165F373">
      <w:r w:rsidRPr="52224E63">
        <w:rPr>
          <w:rFonts w:ascii="Arial Narrow" w:eastAsia="Arial Narrow" w:hAnsi="Arial Narrow" w:cs="Arial Narrow"/>
          <w:b/>
          <w:bCs/>
        </w:rPr>
        <w:lastRenderedPageBreak/>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6">
        <w:r w:rsidRPr="52224E63">
          <w:rPr>
            <w:rStyle w:val="Hyperlink"/>
            <w:rFonts w:ascii="Arial Narrow" w:eastAsia="Arial Narrow" w:hAnsi="Arial Narrow" w:cs="Arial Narrow"/>
            <w:b/>
            <w:bCs/>
          </w:rPr>
          <w:t>facultysenate@unt.edu</w:t>
        </w:r>
      </w:hyperlink>
      <w:r w:rsidRPr="52224E63">
        <w:rPr>
          <w:rFonts w:ascii="Arial Narrow" w:eastAsia="Arial Narrow" w:hAnsi="Arial Narrow" w:cs="Arial Narrow"/>
          <w:b/>
          <w:bCs/>
        </w:rPr>
        <w:t xml:space="preserve">.) Do your committee charges remain relevant?  If not, what changes to the charges do you propose? </w:t>
      </w:r>
    </w:p>
    <w:p w14:paraId="05EB16DE" w14:textId="3ACB5477" w:rsidR="008F5644" w:rsidRDefault="008F5644" w:rsidP="52224E63">
      <w:pPr>
        <w:rPr>
          <w:rFonts w:ascii="Arial Narrow" w:eastAsia="Arial Narrow" w:hAnsi="Arial Narrow" w:cs="Arial Narrow"/>
        </w:rPr>
      </w:pPr>
      <w:r>
        <w:rPr>
          <w:rFonts w:ascii="Arial Narrow" w:eastAsia="Arial Narrow" w:hAnsi="Arial Narrow" w:cs="Arial Narrow"/>
        </w:rPr>
        <w:t xml:space="preserve">We very much appreciate the executive committee removing the membership restriction that required a majority of voting members to be tenured faculty. </w:t>
      </w:r>
    </w:p>
    <w:p w14:paraId="39B1BB8C" w14:textId="26D8EC16" w:rsidR="1AC1A151" w:rsidRPr="008F5644" w:rsidRDefault="7930E9BF" w:rsidP="52224E63">
      <w:pPr>
        <w:rPr>
          <w:rFonts w:ascii="Arial Narrow" w:eastAsia="Arial Narrow" w:hAnsi="Arial Narrow" w:cs="Arial Narrow"/>
        </w:rPr>
      </w:pPr>
      <w:r w:rsidRPr="008F5644">
        <w:rPr>
          <w:rFonts w:ascii="Arial Narrow" w:eastAsia="Arial Narrow" w:hAnsi="Arial Narrow" w:cs="Arial Narrow"/>
        </w:rPr>
        <w:t>Two elements of the OCCC charges are no longer relevant. The first involves the office that houses core curriculum. The charge makes reference to IR&amp;E, which is no longer an entity. Core is currently housed in University Accreditation but also has falls under the provost’s office (that tends to be expressed as a “dotted line”). Also, the “communal assessment” option for core assessment ended several years ago. We recommend that the following part of the committee’s charge be removed.</w:t>
      </w:r>
    </w:p>
    <w:p w14:paraId="1714DDE2" w14:textId="1ACB31AF" w:rsidR="1AC1A151" w:rsidRPr="008F5644" w:rsidRDefault="1AC1A151" w:rsidP="16249C1B">
      <w:pPr>
        <w:rPr>
          <w:rFonts w:ascii="Arial Narrow" w:eastAsia="Arial Narrow" w:hAnsi="Arial Narrow" w:cs="Arial Narrow"/>
        </w:rPr>
      </w:pPr>
      <w:r w:rsidRPr="008F5644">
        <w:rPr>
          <w:rFonts w:ascii="Arial Narrow" w:eastAsia="Arial Narrow" w:hAnsi="Arial Narrow" w:cs="Arial Narrow"/>
        </w:rPr>
        <w:t xml:space="preserve">The “communal assessment” option for core assessment ended </w:t>
      </w:r>
      <w:r w:rsidR="02E3E2C4" w:rsidRPr="008F5644">
        <w:rPr>
          <w:rFonts w:ascii="Arial Narrow" w:eastAsia="Arial Narrow" w:hAnsi="Arial Narrow" w:cs="Arial Narrow"/>
        </w:rPr>
        <w:t>several years ago</w:t>
      </w:r>
      <w:r w:rsidR="007AAA4E" w:rsidRPr="008F5644">
        <w:rPr>
          <w:rFonts w:ascii="Arial Narrow" w:eastAsia="Arial Narrow" w:hAnsi="Arial Narrow" w:cs="Arial Narrow"/>
        </w:rPr>
        <w:t xml:space="preserve">. We recommend that the following part of the committee’s charge be removed.  </w:t>
      </w:r>
    </w:p>
    <w:p w14:paraId="673E7B82" w14:textId="1AED1AD8" w:rsidR="16249C1B" w:rsidRDefault="007AAA4E" w:rsidP="52224E63">
      <w:pPr>
        <w:ind w:left="720"/>
        <w:rPr>
          <w:rFonts w:ascii="Arial Narrow" w:eastAsia="Arial Narrow" w:hAnsi="Arial Narrow" w:cs="Arial Narrow"/>
        </w:rPr>
      </w:pPr>
      <w:r w:rsidRPr="008F5644">
        <w:rPr>
          <w:rFonts w:ascii="Arial Narrow" w:eastAsia="Arial Narrow" w:hAnsi="Arial Narrow" w:cs="Arial Narrow"/>
        </w:rPr>
        <w:t>Committee members will consult with course developers for courses that elect the "communal assessment" process for assessing the core objectives to identify, deploy, collect, and assess "signature" assignments for each assigned core objective.  The OCCC will develop and implement processes and procedures for follow-up and continuous curricular improvements based upon outcome attainment results collected as part of the communal process.</w:t>
      </w:r>
    </w:p>
    <w:p w14:paraId="152B915C" w14:textId="08BCB343" w:rsidR="00FE297E" w:rsidRDefault="00FE297E" w:rsidP="00FE297E">
      <w:pPr>
        <w:rPr>
          <w:rFonts w:ascii="Arial Narrow" w:eastAsia="Arial Narrow" w:hAnsi="Arial Narrow" w:cs="Arial Narrow"/>
        </w:rPr>
      </w:pPr>
      <w:r>
        <w:rPr>
          <w:rFonts w:ascii="Arial Narrow" w:eastAsia="Arial Narrow" w:hAnsi="Arial Narrow" w:cs="Arial Narrow"/>
        </w:rPr>
        <w:t xml:space="preserve">Additionally, the link to the “Office of the Core Curriculum” included on the senate website is incorrect and should point to: </w:t>
      </w:r>
      <w:hyperlink r:id="rId7" w:history="1">
        <w:r w:rsidRPr="00532DA8">
          <w:rPr>
            <w:rStyle w:val="Hyperlink"/>
            <w:rFonts w:ascii="Arial Narrow" w:eastAsia="Arial Narrow" w:hAnsi="Arial Narrow" w:cs="Arial Narrow"/>
          </w:rPr>
          <w:t>https://accreditation.unt.edu/core-curriculum</w:t>
        </w:r>
      </w:hyperlink>
      <w:r>
        <w:rPr>
          <w:rFonts w:ascii="Arial Narrow" w:eastAsia="Arial Narrow" w:hAnsi="Arial Narrow" w:cs="Arial Narrow"/>
        </w:rPr>
        <w:t xml:space="preserve">. </w:t>
      </w:r>
    </w:p>
    <w:p w14:paraId="5C32DA4F" w14:textId="77777777" w:rsidR="00FE297E" w:rsidRPr="008F5644" w:rsidRDefault="00FE297E" w:rsidP="52224E63">
      <w:pPr>
        <w:ind w:left="720"/>
        <w:rPr>
          <w:rFonts w:ascii="Arial Narrow" w:eastAsia="Arial Narrow" w:hAnsi="Arial Narrow" w:cs="Arial Narrow"/>
        </w:rPr>
      </w:pPr>
    </w:p>
    <w:p w14:paraId="33079C3A" w14:textId="4736A39A" w:rsidR="00FE6682" w:rsidRDefault="641F9515">
      <w:r w:rsidRPr="52224E63">
        <w:rPr>
          <w:rFonts w:ascii="Arial Narrow" w:eastAsia="Arial Narrow" w:hAnsi="Arial Narrow" w:cs="Arial Narrow"/>
          <w:b/>
          <w:bCs/>
        </w:rPr>
        <w:t xml:space="preserve">Accomplishments (including items submitted for review or approval to the Executive Committee or Faculty Senate): </w:t>
      </w:r>
    </w:p>
    <w:p w14:paraId="64FFAB75" w14:textId="4A35D17A" w:rsidR="008F5644" w:rsidRDefault="008F5644">
      <w:pPr>
        <w:rPr>
          <w:rFonts w:ascii="Arial Narrow" w:eastAsia="Arial Narrow" w:hAnsi="Arial Narrow" w:cs="Arial Narrow"/>
        </w:rPr>
      </w:pPr>
      <w:r>
        <w:rPr>
          <w:rFonts w:ascii="Arial Narrow" w:eastAsia="Arial Narrow" w:hAnsi="Arial Narrow" w:cs="Arial Narrow"/>
        </w:rPr>
        <w:t>Reviewed and r</w:t>
      </w:r>
      <w:r w:rsidRPr="008F5644">
        <w:rPr>
          <w:rFonts w:ascii="Arial Narrow" w:eastAsia="Arial Narrow" w:hAnsi="Arial Narrow" w:cs="Arial Narrow"/>
        </w:rPr>
        <w:t>eaffirmed</w:t>
      </w:r>
      <w:r>
        <w:rPr>
          <w:rFonts w:ascii="Arial Narrow" w:eastAsia="Arial Narrow" w:hAnsi="Arial Narrow" w:cs="Arial Narrow"/>
        </w:rPr>
        <w:t xml:space="preserve"> the need for all sections of a given core course to give identical assessments.</w:t>
      </w:r>
    </w:p>
    <w:p w14:paraId="0DB221BF" w14:textId="77777777" w:rsidR="00FE297E" w:rsidRPr="008F5644" w:rsidRDefault="00FE297E">
      <w:pPr>
        <w:rPr>
          <w:rFonts w:ascii="Arial Narrow" w:eastAsia="Arial Narrow" w:hAnsi="Arial Narrow" w:cs="Arial Narrow"/>
        </w:rPr>
      </w:pPr>
    </w:p>
    <w:p w14:paraId="23A2400A" w14:textId="44C8C378" w:rsidR="00FE6682" w:rsidRDefault="641F9515">
      <w:r w:rsidRPr="52224E63">
        <w:rPr>
          <w:rFonts w:ascii="Arial Narrow" w:eastAsia="Arial Narrow" w:hAnsi="Arial Narrow" w:cs="Arial Narrow"/>
          <w:b/>
          <w:bCs/>
        </w:rPr>
        <w:t>Ongoing/future projects:</w:t>
      </w:r>
    </w:p>
    <w:p w14:paraId="51AA8A1B" w14:textId="68236F69" w:rsidR="52224E63" w:rsidRPr="008F5644" w:rsidRDefault="008F5644" w:rsidP="52224E63">
      <w:pPr>
        <w:rPr>
          <w:rFonts w:ascii="Arial Narrow" w:eastAsia="Arial Narrow" w:hAnsi="Arial Narrow" w:cs="Arial Narrow"/>
        </w:rPr>
      </w:pPr>
      <w:r w:rsidRPr="008F5644">
        <w:rPr>
          <w:rFonts w:ascii="Arial Narrow" w:eastAsia="Arial Narrow" w:hAnsi="Arial Narrow" w:cs="Arial Narrow"/>
        </w:rPr>
        <w:t xml:space="preserve">Continue to </w:t>
      </w:r>
      <w:r>
        <w:rPr>
          <w:rFonts w:ascii="Arial Narrow" w:eastAsia="Arial Narrow" w:hAnsi="Arial Narrow" w:cs="Arial Narrow"/>
        </w:rPr>
        <w:t>review core curriculum</w:t>
      </w:r>
      <w:r w:rsidR="00FE297E">
        <w:rPr>
          <w:rFonts w:ascii="Arial Narrow" w:eastAsia="Arial Narrow" w:hAnsi="Arial Narrow" w:cs="Arial Narrow"/>
        </w:rPr>
        <w:t xml:space="preserve">, </w:t>
      </w:r>
      <w:r>
        <w:rPr>
          <w:rFonts w:ascii="Arial Narrow" w:eastAsia="Arial Narrow" w:hAnsi="Arial Narrow" w:cs="Arial Narrow"/>
        </w:rPr>
        <w:t>courses</w:t>
      </w:r>
      <w:r w:rsidR="00FE297E">
        <w:rPr>
          <w:rFonts w:ascii="Arial Narrow" w:eastAsia="Arial Narrow" w:hAnsi="Arial Narrow" w:cs="Arial Narrow"/>
        </w:rPr>
        <w:t xml:space="preserve">, and signature </w:t>
      </w:r>
      <w:proofErr w:type="gramStart"/>
      <w:r w:rsidR="00FE297E">
        <w:rPr>
          <w:rFonts w:ascii="Arial Narrow" w:eastAsia="Arial Narrow" w:hAnsi="Arial Narrow" w:cs="Arial Narrow"/>
        </w:rPr>
        <w:t>assessments</w:t>
      </w:r>
      <w:proofErr w:type="gramEnd"/>
    </w:p>
    <w:p w14:paraId="255C54C3" w14:textId="635CB7BC" w:rsidR="00FE6682" w:rsidRDefault="641F9515">
      <w:r w:rsidRPr="475C74B4">
        <w:rPr>
          <w:rFonts w:ascii="Calibri" w:eastAsia="Calibri" w:hAnsi="Calibri" w:cs="Calibri"/>
          <w:color w:val="000000" w:themeColor="text1"/>
        </w:rPr>
        <w:t xml:space="preserve"> </w:t>
      </w:r>
    </w:p>
    <w:p w14:paraId="6B4B3FAB" w14:textId="1E66EEE4" w:rsidR="00FE6682" w:rsidRDefault="641F9515">
      <w:r w:rsidRPr="475C74B4">
        <w:rPr>
          <w:rFonts w:ascii="Arial Narrow" w:eastAsia="Arial Narrow" w:hAnsi="Arial Narrow" w:cs="Arial Narrow"/>
          <w:b/>
          <w:bCs/>
        </w:rPr>
        <w:t xml:space="preserve"> </w:t>
      </w:r>
    </w:p>
    <w:p w14:paraId="7EC0E579" w14:textId="3C622191" w:rsidR="00FE6682" w:rsidRDefault="00FE6682" w:rsidP="475C74B4">
      <w:pPr>
        <w:rPr>
          <w:rFonts w:ascii="Arial Narrow" w:eastAsia="Arial Narrow" w:hAnsi="Arial Narrow" w:cs="Arial Narrow"/>
        </w:rPr>
      </w:pPr>
    </w:p>
    <w:p w14:paraId="2C078E63" w14:textId="717EC122" w:rsidR="00FE6682" w:rsidRDefault="00FE6682" w:rsidP="475C74B4"/>
    <w:sectPr w:rsidR="00FE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EC7F8"/>
    <w:multiLevelType w:val="hybridMultilevel"/>
    <w:tmpl w:val="5CBE5406"/>
    <w:lvl w:ilvl="0" w:tplc="FDE03D22">
      <w:start w:val="1"/>
      <w:numFmt w:val="bullet"/>
      <w:lvlText w:val=""/>
      <w:lvlJc w:val="left"/>
      <w:pPr>
        <w:ind w:left="720" w:hanging="360"/>
      </w:pPr>
      <w:rPr>
        <w:rFonts w:ascii="Symbol" w:hAnsi="Symbol" w:hint="default"/>
      </w:rPr>
    </w:lvl>
    <w:lvl w:ilvl="1" w:tplc="9620AE04">
      <w:start w:val="1"/>
      <w:numFmt w:val="bullet"/>
      <w:lvlText w:val="o"/>
      <w:lvlJc w:val="left"/>
      <w:pPr>
        <w:ind w:left="1440" w:hanging="360"/>
      </w:pPr>
      <w:rPr>
        <w:rFonts w:ascii="Courier New" w:hAnsi="Courier New" w:hint="default"/>
      </w:rPr>
    </w:lvl>
    <w:lvl w:ilvl="2" w:tplc="6A5A572C">
      <w:start w:val="1"/>
      <w:numFmt w:val="bullet"/>
      <w:lvlText w:val=""/>
      <w:lvlJc w:val="left"/>
      <w:pPr>
        <w:ind w:left="2160" w:hanging="360"/>
      </w:pPr>
      <w:rPr>
        <w:rFonts w:ascii="Wingdings" w:hAnsi="Wingdings" w:hint="default"/>
      </w:rPr>
    </w:lvl>
    <w:lvl w:ilvl="3" w:tplc="A64C462E">
      <w:start w:val="1"/>
      <w:numFmt w:val="bullet"/>
      <w:lvlText w:val=""/>
      <w:lvlJc w:val="left"/>
      <w:pPr>
        <w:ind w:left="2880" w:hanging="360"/>
      </w:pPr>
      <w:rPr>
        <w:rFonts w:ascii="Symbol" w:hAnsi="Symbol" w:hint="default"/>
      </w:rPr>
    </w:lvl>
    <w:lvl w:ilvl="4" w:tplc="C748C5C8">
      <w:start w:val="1"/>
      <w:numFmt w:val="bullet"/>
      <w:lvlText w:val="o"/>
      <w:lvlJc w:val="left"/>
      <w:pPr>
        <w:ind w:left="3600" w:hanging="360"/>
      </w:pPr>
      <w:rPr>
        <w:rFonts w:ascii="Courier New" w:hAnsi="Courier New" w:hint="default"/>
      </w:rPr>
    </w:lvl>
    <w:lvl w:ilvl="5" w:tplc="10284944">
      <w:start w:val="1"/>
      <w:numFmt w:val="bullet"/>
      <w:lvlText w:val=""/>
      <w:lvlJc w:val="left"/>
      <w:pPr>
        <w:ind w:left="4320" w:hanging="360"/>
      </w:pPr>
      <w:rPr>
        <w:rFonts w:ascii="Wingdings" w:hAnsi="Wingdings" w:hint="default"/>
      </w:rPr>
    </w:lvl>
    <w:lvl w:ilvl="6" w:tplc="2D186CE2">
      <w:start w:val="1"/>
      <w:numFmt w:val="bullet"/>
      <w:lvlText w:val=""/>
      <w:lvlJc w:val="left"/>
      <w:pPr>
        <w:ind w:left="5040" w:hanging="360"/>
      </w:pPr>
      <w:rPr>
        <w:rFonts w:ascii="Symbol" w:hAnsi="Symbol" w:hint="default"/>
      </w:rPr>
    </w:lvl>
    <w:lvl w:ilvl="7" w:tplc="8352669E">
      <w:start w:val="1"/>
      <w:numFmt w:val="bullet"/>
      <w:lvlText w:val="o"/>
      <w:lvlJc w:val="left"/>
      <w:pPr>
        <w:ind w:left="5760" w:hanging="360"/>
      </w:pPr>
      <w:rPr>
        <w:rFonts w:ascii="Courier New" w:hAnsi="Courier New" w:hint="default"/>
      </w:rPr>
    </w:lvl>
    <w:lvl w:ilvl="8" w:tplc="48568E3A">
      <w:start w:val="1"/>
      <w:numFmt w:val="bullet"/>
      <w:lvlText w:val=""/>
      <w:lvlJc w:val="left"/>
      <w:pPr>
        <w:ind w:left="6480" w:hanging="360"/>
      </w:pPr>
      <w:rPr>
        <w:rFonts w:ascii="Wingdings" w:hAnsi="Wingdings" w:hint="default"/>
      </w:rPr>
    </w:lvl>
  </w:abstractNum>
  <w:num w:numId="1" w16cid:durableId="114828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21B3BD"/>
    <w:rsid w:val="00645B3C"/>
    <w:rsid w:val="007AAA4E"/>
    <w:rsid w:val="00846779"/>
    <w:rsid w:val="008F5644"/>
    <w:rsid w:val="00FE297E"/>
    <w:rsid w:val="00FE6682"/>
    <w:rsid w:val="02E3E2C4"/>
    <w:rsid w:val="0421B3BD"/>
    <w:rsid w:val="06C25671"/>
    <w:rsid w:val="0B578604"/>
    <w:rsid w:val="0B5E6206"/>
    <w:rsid w:val="0D518221"/>
    <w:rsid w:val="10168370"/>
    <w:rsid w:val="11643B61"/>
    <w:rsid w:val="13148FA6"/>
    <w:rsid w:val="1489CF30"/>
    <w:rsid w:val="1506F4C2"/>
    <w:rsid w:val="16249C1B"/>
    <w:rsid w:val="17A35E3B"/>
    <w:rsid w:val="1AC1A151"/>
    <w:rsid w:val="1AC7F4A7"/>
    <w:rsid w:val="1D06706D"/>
    <w:rsid w:val="1F16D21D"/>
    <w:rsid w:val="2097F5B5"/>
    <w:rsid w:val="20ADAD2D"/>
    <w:rsid w:val="215DE43D"/>
    <w:rsid w:val="22685899"/>
    <w:rsid w:val="229FC788"/>
    <w:rsid w:val="25F80069"/>
    <w:rsid w:val="27A3E678"/>
    <w:rsid w:val="2AA55814"/>
    <w:rsid w:val="2AAE2416"/>
    <w:rsid w:val="2DE5C4D8"/>
    <w:rsid w:val="305D2CE9"/>
    <w:rsid w:val="3460C5E1"/>
    <w:rsid w:val="36281405"/>
    <w:rsid w:val="36B0B2CE"/>
    <w:rsid w:val="3BDD1037"/>
    <w:rsid w:val="3E69CCD8"/>
    <w:rsid w:val="3F03E65C"/>
    <w:rsid w:val="447317AC"/>
    <w:rsid w:val="44F86493"/>
    <w:rsid w:val="46A6E994"/>
    <w:rsid w:val="470F2D0E"/>
    <w:rsid w:val="475C74B4"/>
    <w:rsid w:val="47910F77"/>
    <w:rsid w:val="47D20D67"/>
    <w:rsid w:val="47FF2E64"/>
    <w:rsid w:val="48A42241"/>
    <w:rsid w:val="48F7D98D"/>
    <w:rsid w:val="4BA0CC74"/>
    <w:rsid w:val="4D829A7B"/>
    <w:rsid w:val="50D32986"/>
    <w:rsid w:val="51DF0798"/>
    <w:rsid w:val="52224E63"/>
    <w:rsid w:val="52E6B717"/>
    <w:rsid w:val="54A5E4EB"/>
    <w:rsid w:val="584B6A08"/>
    <w:rsid w:val="5866271F"/>
    <w:rsid w:val="5A188494"/>
    <w:rsid w:val="62B1BDCF"/>
    <w:rsid w:val="63F09DD4"/>
    <w:rsid w:val="641F9515"/>
    <w:rsid w:val="64E29A5F"/>
    <w:rsid w:val="6560D179"/>
    <w:rsid w:val="658B63CB"/>
    <w:rsid w:val="66362A86"/>
    <w:rsid w:val="67790B5F"/>
    <w:rsid w:val="6D6E36A6"/>
    <w:rsid w:val="7165F373"/>
    <w:rsid w:val="72A7C2DD"/>
    <w:rsid w:val="731F4731"/>
    <w:rsid w:val="73FB542B"/>
    <w:rsid w:val="75284101"/>
    <w:rsid w:val="78860AED"/>
    <w:rsid w:val="7930E9BF"/>
    <w:rsid w:val="7A7DF0A8"/>
    <w:rsid w:val="7A870C23"/>
    <w:rsid w:val="7B3F5441"/>
    <w:rsid w:val="7DAEFA12"/>
    <w:rsid w:val="7DF669EA"/>
    <w:rsid w:val="7E63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B3BD"/>
  <w15:chartTrackingRefBased/>
  <w15:docId w15:val="{EAE2925E-9232-485B-AE7D-2F4E649A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E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reditation.unt.edu/core-curricu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unt.edu" TargetMode="External"/><Relationship Id="rId5" Type="http://schemas.openxmlformats.org/officeDocument/2006/relationships/hyperlink" Target="mailto:facultysenate@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April</dc:creator>
  <cp:keywords/>
  <dc:description/>
  <cp:lastModifiedBy>Glazer, Courtney</cp:lastModifiedBy>
  <cp:revision>4</cp:revision>
  <dcterms:created xsi:type="dcterms:W3CDTF">2023-12-18T18:35:00Z</dcterms:created>
  <dcterms:modified xsi:type="dcterms:W3CDTF">2023-12-18T18:57:00Z</dcterms:modified>
</cp:coreProperties>
</file>