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61"/>
        <w:gridCol w:w="2489"/>
      </w:tblGrid>
      <w:tr w:rsidR="001146A7" w:rsidRPr="00670417" w14:paraId="7F4DEDF7" w14:textId="77777777" w:rsidTr="006D6958">
        <w:trPr>
          <w:trHeight w:val="800"/>
        </w:trPr>
        <w:tc>
          <w:tcPr>
            <w:tcW w:w="6984" w:type="dxa"/>
            <w:shd w:val="clear" w:color="auto" w:fill="auto"/>
            <w:tcMar>
              <w:left w:w="144" w:type="dxa"/>
              <w:right w:w="115" w:type="dxa"/>
            </w:tcMar>
            <w:vAlign w:val="center"/>
          </w:tcPr>
          <w:p w14:paraId="744203C7" w14:textId="77777777" w:rsidR="001146A7" w:rsidRPr="005E379D" w:rsidRDefault="001146A7" w:rsidP="00596FC5">
            <w:r w:rsidRPr="005E379D">
              <w:t>Policies of the University of North Texas</w:t>
            </w:r>
            <w:r w:rsidR="006D6958" w:rsidRPr="005E379D">
              <w:t xml:space="preserve"> </w:t>
            </w:r>
          </w:p>
        </w:tc>
        <w:tc>
          <w:tcPr>
            <w:tcW w:w="2520" w:type="dxa"/>
            <w:vMerge w:val="restart"/>
            <w:shd w:val="clear" w:color="auto" w:fill="auto"/>
            <w:tcMar>
              <w:left w:w="173" w:type="dxa"/>
              <w:right w:w="115" w:type="dxa"/>
            </w:tcMar>
            <w:vAlign w:val="center"/>
          </w:tcPr>
          <w:p w14:paraId="2397D3FE" w14:textId="77777777" w:rsidR="001146A7" w:rsidRPr="00670417" w:rsidRDefault="00C4365C" w:rsidP="006D6958">
            <w:pPr>
              <w:pStyle w:val="Heading1"/>
              <w:keepNext w:val="0"/>
              <w:keepLines w:val="0"/>
              <w:rPr>
                <w:rFonts w:asciiTheme="minorHAnsi" w:hAnsiTheme="minorHAnsi"/>
                <w:szCs w:val="24"/>
              </w:rPr>
            </w:pPr>
            <w:r>
              <w:rPr>
                <w:rFonts w:asciiTheme="minorHAnsi" w:hAnsiTheme="minorHAnsi"/>
                <w:szCs w:val="24"/>
              </w:rPr>
              <w:t>Chapter 6</w:t>
            </w:r>
            <w:r w:rsidR="001146A7" w:rsidRPr="00670417">
              <w:rPr>
                <w:rFonts w:asciiTheme="minorHAnsi" w:hAnsiTheme="minorHAnsi"/>
                <w:szCs w:val="24"/>
              </w:rPr>
              <w:t xml:space="preserve"> </w:t>
            </w:r>
          </w:p>
          <w:p w14:paraId="12AC83EE" w14:textId="77777777" w:rsidR="001146A7" w:rsidRPr="00670417" w:rsidRDefault="00C4365C" w:rsidP="006D6958">
            <w:pPr>
              <w:rPr>
                <w:rFonts w:asciiTheme="minorHAnsi" w:hAnsiTheme="minorHAnsi"/>
                <w:b/>
              </w:rPr>
            </w:pPr>
            <w:r>
              <w:rPr>
                <w:rFonts w:asciiTheme="minorHAnsi" w:hAnsiTheme="minorHAnsi"/>
              </w:rPr>
              <w:t>Faculty Affairs</w:t>
            </w:r>
          </w:p>
        </w:tc>
      </w:tr>
      <w:tr w:rsidR="001146A7" w:rsidRPr="00670417" w14:paraId="29284161" w14:textId="77777777" w:rsidTr="006D6958">
        <w:trPr>
          <w:trHeight w:val="503"/>
        </w:trPr>
        <w:tc>
          <w:tcPr>
            <w:tcW w:w="6984" w:type="dxa"/>
            <w:shd w:val="clear" w:color="auto" w:fill="auto"/>
            <w:tcMar>
              <w:left w:w="144" w:type="dxa"/>
              <w:right w:w="115" w:type="dxa"/>
            </w:tcMar>
            <w:vAlign w:val="center"/>
          </w:tcPr>
          <w:p w14:paraId="6BAF18E2" w14:textId="31C3C5F0" w:rsidR="001146A7" w:rsidRPr="00670417" w:rsidRDefault="00C8076A" w:rsidP="006D6958">
            <w:pPr>
              <w:pStyle w:val="Heading2"/>
              <w:numPr>
                <w:ilvl w:val="0"/>
                <w:numId w:val="0"/>
              </w:numPr>
              <w:spacing w:before="240"/>
              <w:rPr>
                <w:rFonts w:asciiTheme="minorHAnsi" w:hAnsiTheme="minorHAnsi"/>
                <w:szCs w:val="24"/>
              </w:rPr>
            </w:pPr>
            <w:r>
              <w:rPr>
                <w:rFonts w:asciiTheme="minorHAnsi" w:hAnsiTheme="minorHAnsi"/>
                <w:szCs w:val="24"/>
              </w:rPr>
              <w:t>06.XXX</w:t>
            </w:r>
            <w:r w:rsidR="00C4365C">
              <w:rPr>
                <w:rFonts w:asciiTheme="minorHAnsi" w:hAnsiTheme="minorHAnsi"/>
                <w:szCs w:val="24"/>
              </w:rPr>
              <w:t xml:space="preserve"> Visiting Scholars</w:t>
            </w:r>
            <w:r w:rsidR="0091685B">
              <w:rPr>
                <w:rFonts w:asciiTheme="minorHAnsi" w:hAnsiTheme="minorHAnsi"/>
                <w:szCs w:val="24"/>
              </w:rPr>
              <w:t xml:space="preserve"> and Artists</w:t>
            </w:r>
          </w:p>
        </w:tc>
        <w:tc>
          <w:tcPr>
            <w:tcW w:w="2520" w:type="dxa"/>
            <w:vMerge/>
            <w:shd w:val="clear" w:color="auto" w:fill="auto"/>
            <w:vAlign w:val="center"/>
          </w:tcPr>
          <w:p w14:paraId="375A958E" w14:textId="77777777" w:rsidR="001146A7" w:rsidRPr="00670417" w:rsidRDefault="001146A7" w:rsidP="006D6958">
            <w:pPr>
              <w:jc w:val="right"/>
              <w:rPr>
                <w:rFonts w:asciiTheme="minorHAnsi" w:hAnsiTheme="minorHAnsi"/>
                <w:b/>
              </w:rPr>
            </w:pPr>
          </w:p>
        </w:tc>
      </w:tr>
    </w:tbl>
    <w:p w14:paraId="0860E315" w14:textId="77777777" w:rsidR="001146A7" w:rsidRPr="00670417" w:rsidRDefault="001146A7" w:rsidP="001146A7">
      <w:pPr>
        <w:pStyle w:val="Heading2"/>
        <w:numPr>
          <w:ilvl w:val="0"/>
          <w:numId w:val="0"/>
        </w:numPr>
        <w:ind w:left="1080"/>
        <w:rPr>
          <w:rFonts w:asciiTheme="minorHAnsi" w:eastAsia="Times New Roman" w:hAnsiTheme="minorHAnsi" w:cs="Times New Roman"/>
          <w:bCs w:val="0"/>
          <w:szCs w:val="24"/>
        </w:rPr>
      </w:pPr>
    </w:p>
    <w:p w14:paraId="07F462FE" w14:textId="477810FE" w:rsidR="005E379D" w:rsidRPr="00F865E4" w:rsidRDefault="00C4365C" w:rsidP="005E379D">
      <w:pPr>
        <w:pStyle w:val="Heading1"/>
        <w:rPr>
          <w:rFonts w:asciiTheme="minorHAnsi" w:hAnsiTheme="minorHAnsi" w:cstheme="minorHAnsi"/>
          <w:szCs w:val="24"/>
        </w:rPr>
      </w:pPr>
      <w:r w:rsidRPr="00F865E4">
        <w:rPr>
          <w:rFonts w:asciiTheme="minorHAnsi" w:hAnsiTheme="minorHAnsi" w:cstheme="minorHAnsi"/>
          <w:b/>
          <w:szCs w:val="24"/>
          <w:u w:val="single"/>
        </w:rPr>
        <w:t>Policy Statement</w:t>
      </w:r>
      <w:r w:rsidRPr="00F865E4">
        <w:rPr>
          <w:rFonts w:asciiTheme="minorHAnsi" w:hAnsiTheme="minorHAnsi" w:cstheme="minorHAnsi"/>
          <w:b/>
          <w:szCs w:val="24"/>
        </w:rPr>
        <w:t>.</w:t>
      </w:r>
      <w:r w:rsidR="001146A7" w:rsidRPr="00F865E4">
        <w:rPr>
          <w:rFonts w:asciiTheme="minorHAnsi" w:hAnsiTheme="minorHAnsi" w:cstheme="minorHAnsi"/>
          <w:b/>
          <w:szCs w:val="24"/>
        </w:rPr>
        <w:t xml:space="preserve"> </w:t>
      </w:r>
      <w:r w:rsidRPr="00F865E4">
        <w:rPr>
          <w:rFonts w:asciiTheme="minorHAnsi" w:hAnsiTheme="minorHAnsi" w:cstheme="minorHAnsi"/>
          <w:szCs w:val="24"/>
        </w:rPr>
        <w:t xml:space="preserve">The University of North Texas welcomes domestic and international scholars </w:t>
      </w:r>
      <w:r w:rsidR="0091685B">
        <w:rPr>
          <w:rFonts w:asciiTheme="minorHAnsi" w:hAnsiTheme="minorHAnsi" w:cstheme="minorHAnsi"/>
          <w:szCs w:val="24"/>
        </w:rPr>
        <w:t xml:space="preserve">and artists </w:t>
      </w:r>
      <w:r w:rsidRPr="00F865E4">
        <w:rPr>
          <w:rFonts w:asciiTheme="minorHAnsi" w:hAnsiTheme="minorHAnsi" w:cstheme="minorHAnsi"/>
          <w:szCs w:val="24"/>
        </w:rPr>
        <w:t xml:space="preserve">to participate in the mission of the university. </w:t>
      </w:r>
      <w:r w:rsidR="00C263DA" w:rsidRPr="00F865E4">
        <w:rPr>
          <w:rFonts w:asciiTheme="minorHAnsi" w:eastAsia="Times New Roman" w:hAnsiTheme="minorHAnsi" w:cstheme="minorHAnsi"/>
          <w:szCs w:val="24"/>
        </w:rPr>
        <w:t>The appropriate unive</w:t>
      </w:r>
      <w:r w:rsidR="00C263DA">
        <w:rPr>
          <w:rFonts w:asciiTheme="minorHAnsi" w:eastAsia="Times New Roman" w:hAnsiTheme="minorHAnsi" w:cstheme="minorHAnsi"/>
          <w:szCs w:val="24"/>
        </w:rPr>
        <w:t>rsity authorities must approve V</w:t>
      </w:r>
      <w:r w:rsidR="00C263DA" w:rsidRPr="00F865E4">
        <w:rPr>
          <w:rFonts w:asciiTheme="minorHAnsi" w:eastAsia="Times New Roman" w:hAnsiTheme="minorHAnsi" w:cstheme="minorHAnsi"/>
          <w:szCs w:val="24"/>
        </w:rPr>
        <w:t>isiting Scholars and Artists</w:t>
      </w:r>
      <w:r w:rsidR="00054778">
        <w:rPr>
          <w:rFonts w:asciiTheme="minorHAnsi" w:eastAsia="Times New Roman" w:hAnsiTheme="minorHAnsi" w:cstheme="minorHAnsi"/>
          <w:szCs w:val="24"/>
        </w:rPr>
        <w:t>.</w:t>
      </w:r>
    </w:p>
    <w:p w14:paraId="45864CE4" w14:textId="6AD23B38" w:rsidR="005E379D" w:rsidRPr="005E379D" w:rsidRDefault="001146A7" w:rsidP="005E379D">
      <w:pPr>
        <w:pStyle w:val="Heading1"/>
        <w:rPr>
          <w:rFonts w:asciiTheme="minorHAnsi" w:hAnsiTheme="minorHAnsi"/>
          <w:szCs w:val="24"/>
        </w:rPr>
      </w:pPr>
      <w:r w:rsidRPr="00670417">
        <w:rPr>
          <w:rFonts w:asciiTheme="minorHAnsi" w:hAnsiTheme="minorHAnsi"/>
          <w:b/>
          <w:szCs w:val="24"/>
          <w:u w:val="single"/>
        </w:rPr>
        <w:t>Application of Policy</w:t>
      </w:r>
      <w:r w:rsidRPr="00C4365C">
        <w:rPr>
          <w:rFonts w:asciiTheme="minorHAnsi" w:hAnsiTheme="minorHAnsi"/>
          <w:b/>
          <w:szCs w:val="24"/>
        </w:rPr>
        <w:t>.</w:t>
      </w:r>
      <w:r w:rsidRPr="00670417">
        <w:rPr>
          <w:rFonts w:asciiTheme="minorHAnsi" w:hAnsiTheme="minorHAnsi"/>
          <w:b/>
          <w:szCs w:val="24"/>
        </w:rPr>
        <w:t xml:space="preserve">  </w:t>
      </w:r>
      <w:r w:rsidR="00F865E4">
        <w:rPr>
          <w:rFonts w:asciiTheme="minorHAnsi" w:hAnsiTheme="minorHAnsi"/>
          <w:szCs w:val="24"/>
        </w:rPr>
        <w:t>Visiting scholars</w:t>
      </w:r>
      <w:r w:rsidR="0091685B">
        <w:rPr>
          <w:rFonts w:asciiTheme="minorHAnsi" w:hAnsiTheme="minorHAnsi"/>
          <w:szCs w:val="24"/>
        </w:rPr>
        <w:t xml:space="preserve"> and artists</w:t>
      </w:r>
    </w:p>
    <w:p w14:paraId="4C409D85" w14:textId="6DF59FEC" w:rsidR="005E379D" w:rsidRPr="005E379D" w:rsidRDefault="001146A7" w:rsidP="005E379D">
      <w:pPr>
        <w:pStyle w:val="Heading1"/>
        <w:rPr>
          <w:rFonts w:asciiTheme="minorHAnsi" w:hAnsiTheme="minorHAnsi"/>
          <w:szCs w:val="24"/>
        </w:rPr>
      </w:pPr>
      <w:r w:rsidRPr="00670417">
        <w:rPr>
          <w:rFonts w:asciiTheme="minorHAnsi" w:hAnsiTheme="minorHAnsi"/>
          <w:b/>
          <w:szCs w:val="24"/>
          <w:u w:val="single"/>
        </w:rPr>
        <w:t>Definitions</w:t>
      </w:r>
      <w:r w:rsidRPr="00C4365C">
        <w:rPr>
          <w:rFonts w:asciiTheme="minorHAnsi" w:hAnsiTheme="minorHAnsi"/>
          <w:b/>
          <w:szCs w:val="24"/>
        </w:rPr>
        <w:t>.</w:t>
      </w:r>
      <w:r w:rsidRPr="00670417">
        <w:rPr>
          <w:rFonts w:asciiTheme="minorHAnsi" w:hAnsiTheme="minorHAnsi"/>
          <w:b/>
          <w:szCs w:val="24"/>
        </w:rPr>
        <w:t xml:space="preserve">  </w:t>
      </w:r>
    </w:p>
    <w:p w14:paraId="7D3E19C3" w14:textId="22BF3F79" w:rsidR="0091685B" w:rsidRPr="004C0161" w:rsidRDefault="0091685B" w:rsidP="0091685B">
      <w:pPr>
        <w:pStyle w:val="Heading3"/>
        <w:rPr>
          <w:rFonts w:asciiTheme="minorHAnsi" w:hAnsiTheme="minorHAnsi"/>
        </w:rPr>
      </w:pPr>
      <w:r w:rsidRPr="004C0161">
        <w:rPr>
          <w:rFonts w:asciiTheme="minorHAnsi" w:hAnsiTheme="minorHAnsi"/>
          <w:u w:val="single"/>
        </w:rPr>
        <w:t>Faculty Host</w:t>
      </w:r>
      <w:r w:rsidRPr="004C0161">
        <w:rPr>
          <w:rFonts w:asciiTheme="minorHAnsi" w:eastAsia="Times New Roman" w:hAnsiTheme="minorHAnsi" w:cs="Times New Roman"/>
        </w:rPr>
        <w:t xml:space="preserve">. “Faculty host” means a full-time UNT faculty member who </w:t>
      </w:r>
      <w:r>
        <w:rPr>
          <w:rFonts w:asciiTheme="minorHAnsi" w:eastAsia="Times New Roman" w:hAnsiTheme="minorHAnsi" w:cs="Times New Roman"/>
        </w:rPr>
        <w:t>formally invites</w:t>
      </w:r>
      <w:r w:rsidRPr="004C0161">
        <w:rPr>
          <w:rFonts w:asciiTheme="minorHAnsi" w:eastAsia="Times New Roman" w:hAnsiTheme="minorHAnsi" w:cs="Times New Roman"/>
        </w:rPr>
        <w:t xml:space="preserve"> a visiting scholar.</w:t>
      </w:r>
    </w:p>
    <w:p w14:paraId="1F7B13F2" w14:textId="565CCE1B" w:rsidR="009721C8" w:rsidRPr="009721C8" w:rsidRDefault="009721C8" w:rsidP="0091685B">
      <w:pPr>
        <w:pStyle w:val="Heading3"/>
        <w:rPr>
          <w:rFonts w:asciiTheme="minorHAnsi" w:hAnsiTheme="minorHAnsi"/>
        </w:rPr>
      </w:pPr>
      <w:r w:rsidRPr="009721C8">
        <w:rPr>
          <w:rFonts w:asciiTheme="minorHAnsi" w:hAnsiTheme="minorHAnsi"/>
          <w:u w:val="single"/>
        </w:rPr>
        <w:t>Sponsoring Institution</w:t>
      </w:r>
      <w:r>
        <w:rPr>
          <w:rFonts w:asciiTheme="minorHAnsi" w:hAnsiTheme="minorHAnsi"/>
        </w:rPr>
        <w:t xml:space="preserve">. “Sponsoring institution” means the </w:t>
      </w:r>
      <w:r w:rsidR="00FD3F47">
        <w:rPr>
          <w:rFonts w:asciiTheme="minorHAnsi" w:hAnsiTheme="minorHAnsi"/>
        </w:rPr>
        <w:t xml:space="preserve">scholar or artist’s regular employer. </w:t>
      </w:r>
    </w:p>
    <w:p w14:paraId="55B5F557" w14:textId="05831411" w:rsidR="0091685B" w:rsidRPr="0091685B" w:rsidRDefault="0091685B" w:rsidP="0091685B">
      <w:pPr>
        <w:pStyle w:val="Heading3"/>
        <w:rPr>
          <w:rFonts w:asciiTheme="minorHAnsi" w:hAnsiTheme="minorHAnsi"/>
        </w:rPr>
      </w:pPr>
      <w:r w:rsidRPr="004C0161">
        <w:rPr>
          <w:rFonts w:asciiTheme="minorHAnsi" w:hAnsiTheme="minorHAnsi"/>
          <w:u w:val="single"/>
        </w:rPr>
        <w:t>Unit Host</w:t>
      </w:r>
      <w:r w:rsidRPr="004C0161">
        <w:rPr>
          <w:rFonts w:asciiTheme="minorHAnsi" w:eastAsia="Times New Roman" w:hAnsiTheme="minorHAnsi" w:cs="Times New Roman"/>
        </w:rPr>
        <w:t xml:space="preserve">. “Unit host” means the </w:t>
      </w:r>
      <w:r w:rsidR="00FD3F47">
        <w:rPr>
          <w:rFonts w:asciiTheme="minorHAnsi" w:eastAsia="Times New Roman" w:hAnsiTheme="minorHAnsi" w:cs="Times New Roman"/>
        </w:rPr>
        <w:t xml:space="preserve">unit administrator of the </w:t>
      </w:r>
      <w:r w:rsidRPr="004C0161">
        <w:rPr>
          <w:rFonts w:asciiTheme="minorHAnsi" w:eastAsia="Times New Roman" w:hAnsiTheme="minorHAnsi" w:cs="Times New Roman"/>
        </w:rPr>
        <w:t>academic unit that hosts the vi</w:t>
      </w:r>
      <w:r w:rsidR="00200FA4">
        <w:rPr>
          <w:rFonts w:asciiTheme="minorHAnsi" w:eastAsia="Times New Roman" w:hAnsiTheme="minorHAnsi" w:cs="Times New Roman"/>
        </w:rPr>
        <w:t>siting faculty member.</w:t>
      </w:r>
      <w:r w:rsidRPr="004C0161">
        <w:rPr>
          <w:rFonts w:asciiTheme="minorHAnsi" w:eastAsia="Times New Roman" w:hAnsiTheme="minorHAnsi" w:cs="Times New Roman"/>
        </w:rPr>
        <w:t xml:space="preserve"> </w:t>
      </w:r>
      <w:r w:rsidR="00200FA4">
        <w:rPr>
          <w:rFonts w:asciiTheme="minorHAnsi" w:eastAsia="Times New Roman" w:hAnsiTheme="minorHAnsi" w:cs="Times New Roman"/>
        </w:rPr>
        <w:t xml:space="preserve">The unit host </w:t>
      </w:r>
      <w:r w:rsidR="00FD3F47">
        <w:rPr>
          <w:rFonts w:asciiTheme="minorHAnsi" w:eastAsia="Times New Roman" w:hAnsiTheme="minorHAnsi" w:cs="Times New Roman"/>
        </w:rPr>
        <w:t>facilitates</w:t>
      </w:r>
      <w:r w:rsidRPr="004C0161">
        <w:rPr>
          <w:rFonts w:asciiTheme="minorHAnsi" w:eastAsia="Times New Roman" w:hAnsiTheme="minorHAnsi" w:cs="Times New Roman"/>
        </w:rPr>
        <w:t xml:space="preserve"> access to university resources</w:t>
      </w:r>
      <w:r>
        <w:rPr>
          <w:rFonts w:asciiTheme="minorHAnsi" w:eastAsia="Times New Roman" w:hAnsiTheme="minorHAnsi" w:cs="Times New Roman"/>
        </w:rPr>
        <w:t xml:space="preserve"> and facilities</w:t>
      </w:r>
      <w:r w:rsidRPr="004C0161">
        <w:rPr>
          <w:rFonts w:asciiTheme="minorHAnsi" w:eastAsia="Times New Roman" w:hAnsiTheme="minorHAnsi" w:cs="Times New Roman"/>
        </w:rPr>
        <w:t xml:space="preserve">, </w:t>
      </w:r>
      <w:r>
        <w:rPr>
          <w:rFonts w:asciiTheme="minorHAnsi" w:eastAsia="Times New Roman" w:hAnsiTheme="minorHAnsi" w:cs="Times New Roman"/>
        </w:rPr>
        <w:t>such as</w:t>
      </w:r>
      <w:r w:rsidRPr="004C0161">
        <w:rPr>
          <w:rFonts w:asciiTheme="minorHAnsi" w:eastAsia="Times New Roman" w:hAnsiTheme="minorHAnsi" w:cs="Times New Roman"/>
        </w:rPr>
        <w:t xml:space="preserve"> office, lab, and studio space</w:t>
      </w:r>
      <w:r>
        <w:rPr>
          <w:rFonts w:asciiTheme="minorHAnsi" w:eastAsia="Times New Roman" w:hAnsiTheme="minorHAnsi" w:cs="Times New Roman"/>
        </w:rPr>
        <w:t>,</w:t>
      </w:r>
      <w:r w:rsidRPr="004C0161">
        <w:rPr>
          <w:rFonts w:asciiTheme="minorHAnsi" w:eastAsia="Times New Roman" w:hAnsiTheme="minorHAnsi" w:cs="Times New Roman"/>
        </w:rPr>
        <w:t xml:space="preserve"> as appropriate. </w:t>
      </w:r>
    </w:p>
    <w:p w14:paraId="2FC61564" w14:textId="68E3C150" w:rsidR="00E82238" w:rsidRPr="004C0161" w:rsidRDefault="004B240C" w:rsidP="00E82238">
      <w:pPr>
        <w:pStyle w:val="Heading3"/>
        <w:rPr>
          <w:rFonts w:asciiTheme="minorHAnsi" w:hAnsiTheme="minorHAnsi"/>
        </w:rPr>
      </w:pPr>
      <w:r w:rsidRPr="004C0161">
        <w:rPr>
          <w:rFonts w:asciiTheme="minorHAnsi" w:hAnsiTheme="minorHAnsi"/>
          <w:u w:val="single"/>
        </w:rPr>
        <w:t>Visiting Scholar</w:t>
      </w:r>
      <w:r w:rsidR="0091685B">
        <w:rPr>
          <w:rFonts w:asciiTheme="minorHAnsi" w:hAnsiTheme="minorHAnsi"/>
          <w:u w:val="single"/>
        </w:rPr>
        <w:t xml:space="preserve"> or Artist</w:t>
      </w:r>
      <w:r w:rsidR="001146A7" w:rsidRPr="004C0161">
        <w:rPr>
          <w:rFonts w:asciiTheme="minorHAnsi" w:hAnsiTheme="minorHAnsi"/>
        </w:rPr>
        <w:t xml:space="preserve">. </w:t>
      </w:r>
      <w:r w:rsidRPr="004C0161">
        <w:rPr>
          <w:rFonts w:asciiTheme="minorHAnsi" w:hAnsiTheme="minorHAnsi"/>
        </w:rPr>
        <w:t>“Visiting scholar</w:t>
      </w:r>
      <w:r w:rsidR="0091685B">
        <w:rPr>
          <w:rFonts w:asciiTheme="minorHAnsi" w:hAnsiTheme="minorHAnsi"/>
        </w:rPr>
        <w:t xml:space="preserve"> or artist</w:t>
      </w:r>
      <w:r w:rsidRPr="004C0161">
        <w:rPr>
          <w:rFonts w:asciiTheme="minorHAnsi" w:hAnsiTheme="minorHAnsi"/>
        </w:rPr>
        <w:t xml:space="preserve">” means an individual who </w:t>
      </w:r>
      <w:r w:rsidR="00054778">
        <w:rPr>
          <w:rFonts w:asciiTheme="minorHAnsi" w:hAnsiTheme="minorHAnsi"/>
        </w:rPr>
        <w:t xml:space="preserve">is </w:t>
      </w:r>
      <w:r w:rsidR="00A00EFC">
        <w:rPr>
          <w:rFonts w:asciiTheme="minorHAnsi" w:hAnsiTheme="minorHAnsi"/>
        </w:rPr>
        <w:t xml:space="preserve">employed </w:t>
      </w:r>
      <w:r w:rsidR="00120D7A">
        <w:rPr>
          <w:rFonts w:asciiTheme="minorHAnsi" w:hAnsiTheme="minorHAnsi"/>
        </w:rPr>
        <w:t xml:space="preserve">by </w:t>
      </w:r>
      <w:r w:rsidR="00054778">
        <w:rPr>
          <w:rFonts w:asciiTheme="minorHAnsi" w:hAnsiTheme="minorHAnsi"/>
        </w:rPr>
        <w:t xml:space="preserve">or affiliated with </w:t>
      </w:r>
      <w:r w:rsidR="00A00EFC">
        <w:rPr>
          <w:rFonts w:asciiTheme="minorHAnsi" w:hAnsiTheme="minorHAnsi"/>
        </w:rPr>
        <w:t>another institution</w:t>
      </w:r>
      <w:r w:rsidRPr="004C0161">
        <w:rPr>
          <w:rFonts w:asciiTheme="minorHAnsi" w:hAnsiTheme="minorHAnsi"/>
        </w:rPr>
        <w:t>, recently retired from a faculty position elsewhere, or who holds facu</w:t>
      </w:r>
      <w:r w:rsidR="00A00EFC">
        <w:rPr>
          <w:rFonts w:asciiTheme="minorHAnsi" w:hAnsiTheme="minorHAnsi" w:cstheme="minorHAnsi"/>
        </w:rPr>
        <w:t>lty-equivalent credentials. Visiting scholars or artists</w:t>
      </w:r>
      <w:r w:rsidRPr="009736DC">
        <w:rPr>
          <w:rFonts w:asciiTheme="minorHAnsi" w:hAnsiTheme="minorHAnsi" w:cstheme="minorHAnsi"/>
        </w:rPr>
        <w:t xml:space="preserve"> </w:t>
      </w:r>
      <w:r w:rsidR="00A00EFC">
        <w:rPr>
          <w:rFonts w:asciiTheme="minorHAnsi" w:hAnsiTheme="minorHAnsi" w:cstheme="minorHAnsi"/>
        </w:rPr>
        <w:t xml:space="preserve">are affiliated </w:t>
      </w:r>
      <w:r w:rsidR="00054778">
        <w:rPr>
          <w:rFonts w:asciiTheme="minorHAnsi" w:hAnsiTheme="minorHAnsi" w:cstheme="minorHAnsi"/>
        </w:rPr>
        <w:t xml:space="preserve">temporarily with UNT </w:t>
      </w:r>
      <w:r w:rsidR="00C2715E" w:rsidRPr="009736DC">
        <w:rPr>
          <w:rFonts w:asciiTheme="minorHAnsi" w:hAnsiTheme="minorHAnsi" w:cstheme="minorHAnsi"/>
        </w:rPr>
        <w:t>for the purposes</w:t>
      </w:r>
      <w:r w:rsidRPr="009736DC">
        <w:rPr>
          <w:rFonts w:asciiTheme="minorHAnsi" w:hAnsiTheme="minorHAnsi" w:cstheme="minorHAnsi"/>
        </w:rPr>
        <w:t xml:space="preserve"> of research, </w:t>
      </w:r>
      <w:r w:rsidR="00383D20">
        <w:rPr>
          <w:rFonts w:asciiTheme="minorHAnsi" w:hAnsiTheme="minorHAnsi" w:cstheme="minorHAnsi"/>
        </w:rPr>
        <w:t xml:space="preserve">clinical activity, creative activity, </w:t>
      </w:r>
      <w:r w:rsidRPr="009736DC">
        <w:rPr>
          <w:rFonts w:asciiTheme="minorHAnsi" w:hAnsiTheme="minorHAnsi" w:cstheme="minorHAnsi"/>
        </w:rPr>
        <w:t xml:space="preserve">and collaboration. </w:t>
      </w:r>
      <w:r w:rsidR="009736DC" w:rsidRPr="009736DC">
        <w:rPr>
          <w:rFonts w:asciiTheme="minorHAnsi" w:hAnsiTheme="minorHAnsi" w:cstheme="minorHAnsi"/>
        </w:rPr>
        <w:t>Visiting sch</w:t>
      </w:r>
      <w:r w:rsidR="009736DC">
        <w:rPr>
          <w:rFonts w:asciiTheme="minorHAnsi" w:hAnsiTheme="minorHAnsi" w:cstheme="minorHAnsi"/>
        </w:rPr>
        <w:t>olars or artist</w:t>
      </w:r>
      <w:r w:rsidR="009736DC" w:rsidRPr="009736DC">
        <w:rPr>
          <w:rFonts w:asciiTheme="minorHAnsi" w:hAnsiTheme="minorHAnsi" w:cstheme="minorHAnsi"/>
        </w:rPr>
        <w:t>s</w:t>
      </w:r>
      <w:r w:rsidR="001146A7" w:rsidRPr="009736DC">
        <w:rPr>
          <w:rFonts w:asciiTheme="minorHAnsi" w:hAnsiTheme="minorHAnsi" w:cstheme="minorHAnsi"/>
        </w:rPr>
        <w:t xml:space="preserve"> </w:t>
      </w:r>
      <w:r w:rsidR="009736DC" w:rsidRPr="009736DC">
        <w:rPr>
          <w:rFonts w:asciiTheme="minorHAnsi" w:eastAsia="Times New Roman" w:hAnsiTheme="minorHAnsi" w:cstheme="minorHAnsi"/>
        </w:rPr>
        <w:t>are not employees of UNT.</w:t>
      </w:r>
    </w:p>
    <w:p w14:paraId="3E38F1CE" w14:textId="577E7959" w:rsidR="005E379D" w:rsidRDefault="001146A7" w:rsidP="005E379D">
      <w:pPr>
        <w:pStyle w:val="Heading1"/>
        <w:rPr>
          <w:rFonts w:asciiTheme="minorHAnsi" w:hAnsiTheme="minorHAnsi"/>
          <w:b/>
          <w:szCs w:val="24"/>
        </w:rPr>
      </w:pPr>
      <w:r w:rsidRPr="00670417">
        <w:rPr>
          <w:rFonts w:asciiTheme="minorHAnsi" w:hAnsiTheme="minorHAnsi"/>
          <w:b/>
          <w:szCs w:val="24"/>
          <w:u w:val="single"/>
        </w:rPr>
        <w:t>Procedures and Responsibilities</w:t>
      </w:r>
      <w:r w:rsidR="004C0161">
        <w:rPr>
          <w:rFonts w:asciiTheme="minorHAnsi" w:hAnsiTheme="minorHAnsi"/>
          <w:b/>
          <w:szCs w:val="24"/>
        </w:rPr>
        <w:t xml:space="preserve">. </w:t>
      </w:r>
    </w:p>
    <w:p w14:paraId="2A023728" w14:textId="79528DBE" w:rsidR="004C0161" w:rsidRPr="004C0161" w:rsidRDefault="004C0161" w:rsidP="004C0161">
      <w:pPr>
        <w:pStyle w:val="BodyText"/>
      </w:pPr>
      <w:r>
        <w:t xml:space="preserve">Upon the recommendation of the </w:t>
      </w:r>
      <w:r w:rsidR="00B84F96">
        <w:t>unit host</w:t>
      </w:r>
      <w:r w:rsidR="00D37004">
        <w:t>,</w:t>
      </w:r>
      <w:r w:rsidR="00200FA4">
        <w:t xml:space="preserve"> the</w:t>
      </w:r>
      <w:r w:rsidR="00B84F96">
        <w:t xml:space="preserve"> dean may confer Visiting Scholar</w:t>
      </w:r>
      <w:r w:rsidR="0091685B">
        <w:t xml:space="preserve"> or Artist</w:t>
      </w:r>
      <w:r w:rsidR="00B84F96">
        <w:t xml:space="preserve"> status.</w:t>
      </w:r>
    </w:p>
    <w:p w14:paraId="44327DC9" w14:textId="3597A95F" w:rsidR="00E82238" w:rsidRDefault="00B84F96" w:rsidP="00B84F96">
      <w:pPr>
        <w:pStyle w:val="BodyText"/>
        <w:numPr>
          <w:ilvl w:val="0"/>
          <w:numId w:val="19"/>
        </w:numPr>
      </w:pPr>
      <w:r w:rsidRPr="004B148B">
        <w:rPr>
          <w:u w:val="single"/>
        </w:rPr>
        <w:t>Eligibility</w:t>
      </w:r>
      <w:r w:rsidR="004B148B">
        <w:t xml:space="preserve">. To be eligible for </w:t>
      </w:r>
      <w:r w:rsidR="0098451A">
        <w:t>designation as a visiting scholar</w:t>
      </w:r>
      <w:r w:rsidR="00F63976">
        <w:t xml:space="preserve"> or artist</w:t>
      </w:r>
      <w:r w:rsidR="00200FA4">
        <w:t>, individuals</w:t>
      </w:r>
      <w:r w:rsidR="00A00EFC">
        <w:t xml:space="preserve"> must</w:t>
      </w:r>
      <w:r w:rsidR="004B148B">
        <w:t>:</w:t>
      </w:r>
    </w:p>
    <w:p w14:paraId="7AA10823" w14:textId="4A942C86" w:rsidR="00CE1FE3" w:rsidRPr="00CE1FE3" w:rsidRDefault="00A00EFC" w:rsidP="004B148B">
      <w:pPr>
        <w:pStyle w:val="BodyText"/>
        <w:numPr>
          <w:ilvl w:val="1"/>
          <w:numId w:val="19"/>
        </w:numPr>
      </w:pPr>
      <w:r>
        <w:rPr>
          <w:rFonts w:asciiTheme="minorHAnsi" w:hAnsiTheme="minorHAnsi"/>
        </w:rPr>
        <w:t>be</w:t>
      </w:r>
      <w:r w:rsidR="00CE1FE3" w:rsidRPr="004C0161">
        <w:rPr>
          <w:rFonts w:asciiTheme="minorHAnsi" w:hAnsiTheme="minorHAnsi"/>
        </w:rPr>
        <w:t xml:space="preserve"> </w:t>
      </w:r>
      <w:r w:rsidR="00CE1FE3">
        <w:rPr>
          <w:rFonts w:asciiTheme="minorHAnsi" w:hAnsiTheme="minorHAnsi"/>
        </w:rPr>
        <w:t xml:space="preserve">employed by or affiliated with </w:t>
      </w:r>
      <w:r>
        <w:rPr>
          <w:rFonts w:asciiTheme="minorHAnsi" w:hAnsiTheme="minorHAnsi"/>
        </w:rPr>
        <w:t>another institution</w:t>
      </w:r>
      <w:r w:rsidR="00CE1FE3" w:rsidRPr="004C0161">
        <w:rPr>
          <w:rFonts w:asciiTheme="minorHAnsi" w:hAnsiTheme="minorHAnsi"/>
        </w:rPr>
        <w:t>, recently retired from a fac</w:t>
      </w:r>
      <w:r w:rsidR="00CE1FE3">
        <w:rPr>
          <w:rFonts w:asciiTheme="minorHAnsi" w:hAnsiTheme="minorHAnsi"/>
        </w:rPr>
        <w:t>ulty position elsewhere, or</w:t>
      </w:r>
      <w:r w:rsidR="00CE1FE3" w:rsidRPr="004C0161">
        <w:rPr>
          <w:rFonts w:asciiTheme="minorHAnsi" w:hAnsiTheme="minorHAnsi"/>
        </w:rPr>
        <w:t xml:space="preserve"> </w:t>
      </w:r>
      <w:r w:rsidR="00747FDB">
        <w:rPr>
          <w:rFonts w:asciiTheme="minorHAnsi" w:hAnsiTheme="minorHAnsi"/>
        </w:rPr>
        <w:t xml:space="preserve">have </w:t>
      </w:r>
      <w:r w:rsidR="00CE1FE3" w:rsidRPr="004C0161">
        <w:rPr>
          <w:rFonts w:asciiTheme="minorHAnsi" w:hAnsiTheme="minorHAnsi"/>
        </w:rPr>
        <w:t>facu</w:t>
      </w:r>
      <w:r w:rsidR="00CE1FE3" w:rsidRPr="009736DC">
        <w:rPr>
          <w:rFonts w:asciiTheme="minorHAnsi" w:hAnsiTheme="minorHAnsi" w:cstheme="minorHAnsi"/>
        </w:rPr>
        <w:t>lty-equivalent credentials</w:t>
      </w:r>
      <w:r w:rsidR="00CE1FE3">
        <w:rPr>
          <w:rFonts w:asciiTheme="minorHAnsi" w:hAnsiTheme="minorHAnsi" w:cstheme="minorHAnsi"/>
        </w:rPr>
        <w:t>;</w:t>
      </w:r>
    </w:p>
    <w:p w14:paraId="2CF9F0C7" w14:textId="2511F130" w:rsidR="00CE1FE3" w:rsidRPr="004B148B" w:rsidRDefault="00CE1FE3" w:rsidP="00CE1FE3">
      <w:pPr>
        <w:pStyle w:val="BodyText"/>
        <w:numPr>
          <w:ilvl w:val="1"/>
          <w:numId w:val="19"/>
        </w:numPr>
      </w:pPr>
      <w:r>
        <w:rPr>
          <w:rFonts w:asciiTheme="minorHAnsi" w:hAnsiTheme="minorHAnsi"/>
        </w:rPr>
        <w:t>have a demonstrated capacity to contribute to the research mission of the university;</w:t>
      </w:r>
    </w:p>
    <w:p w14:paraId="0DCEAABE" w14:textId="1E210370" w:rsidR="00CE1FE3" w:rsidRDefault="00CE1FE3" w:rsidP="004B148B">
      <w:pPr>
        <w:pStyle w:val="BodyText"/>
        <w:numPr>
          <w:ilvl w:val="1"/>
          <w:numId w:val="19"/>
        </w:numPr>
      </w:pPr>
      <w:r>
        <w:t>receive a letter of invitation from faculty and unit hosts;</w:t>
      </w:r>
    </w:p>
    <w:p w14:paraId="1585FBCA" w14:textId="315752D2" w:rsidR="00CE1FE3" w:rsidRDefault="00CE1FE3" w:rsidP="004B148B">
      <w:pPr>
        <w:pStyle w:val="BodyText"/>
        <w:numPr>
          <w:ilvl w:val="1"/>
          <w:numId w:val="19"/>
        </w:numPr>
      </w:pPr>
      <w:r>
        <w:lastRenderedPageBreak/>
        <w:t xml:space="preserve">not have been a </w:t>
      </w:r>
      <w:r w:rsidR="00591E70">
        <w:t xml:space="preserve">full time </w:t>
      </w:r>
      <w:r>
        <w:t xml:space="preserve">UNT employee within that last year before visiting </w:t>
      </w:r>
      <w:r w:rsidR="00120D7A">
        <w:t>scholar or artist conferral.</w:t>
      </w:r>
    </w:p>
    <w:p w14:paraId="757B4420" w14:textId="3FA8D327" w:rsidR="004B148B" w:rsidRPr="004B148B" w:rsidRDefault="00120D7A" w:rsidP="00A16B35">
      <w:pPr>
        <w:pStyle w:val="BodyText"/>
        <w:numPr>
          <w:ilvl w:val="1"/>
          <w:numId w:val="19"/>
        </w:numPr>
      </w:pPr>
      <w:r>
        <w:rPr>
          <w:rFonts w:asciiTheme="minorHAnsi" w:hAnsiTheme="minorHAnsi"/>
        </w:rPr>
        <w:t>I</w:t>
      </w:r>
      <w:r w:rsidR="00CE1FE3">
        <w:rPr>
          <w:rFonts w:asciiTheme="minorHAnsi" w:hAnsiTheme="minorHAnsi"/>
        </w:rPr>
        <w:t>n the case of in-residence visiting scholars or artists</w:t>
      </w:r>
      <w:r w:rsidR="00200FA4">
        <w:rPr>
          <w:rFonts w:asciiTheme="minorHAnsi" w:hAnsiTheme="minorHAnsi"/>
        </w:rPr>
        <w:t xml:space="preserve">, </w:t>
      </w:r>
      <w:r>
        <w:rPr>
          <w:rFonts w:asciiTheme="minorHAnsi" w:hAnsiTheme="minorHAnsi"/>
        </w:rPr>
        <w:t xml:space="preserve">individuals </w:t>
      </w:r>
      <w:r w:rsidR="00200FA4">
        <w:rPr>
          <w:rFonts w:asciiTheme="minorHAnsi" w:hAnsiTheme="minorHAnsi"/>
        </w:rPr>
        <w:t>must</w:t>
      </w:r>
      <w:r w:rsidR="00A16B35">
        <w:rPr>
          <w:rFonts w:asciiTheme="minorHAnsi" w:hAnsiTheme="minorHAnsi"/>
        </w:rPr>
        <w:t xml:space="preserve"> </w:t>
      </w:r>
      <w:r w:rsidR="004B148B" w:rsidRPr="00A16B35">
        <w:rPr>
          <w:rFonts w:asciiTheme="minorHAnsi" w:hAnsiTheme="minorHAnsi"/>
        </w:rPr>
        <w:t>pass a criminal background check</w:t>
      </w:r>
      <w:r w:rsidR="00FB52C5" w:rsidRPr="00A16B35">
        <w:rPr>
          <w:rFonts w:asciiTheme="minorHAnsi" w:hAnsiTheme="minorHAnsi"/>
        </w:rPr>
        <w:t xml:space="preserve"> conducted by UNT or, for international visitors, conducted in the context of the immigration process</w:t>
      </w:r>
      <w:r>
        <w:rPr>
          <w:rFonts w:asciiTheme="minorHAnsi" w:hAnsiTheme="minorHAnsi"/>
        </w:rPr>
        <w:t>.</w:t>
      </w:r>
    </w:p>
    <w:p w14:paraId="52938DC9" w14:textId="51DA401C" w:rsidR="00C8076A" w:rsidRDefault="004B148B" w:rsidP="00383D20">
      <w:pPr>
        <w:pStyle w:val="BodyText"/>
        <w:numPr>
          <w:ilvl w:val="0"/>
          <w:numId w:val="19"/>
        </w:numPr>
      </w:pPr>
      <w:r w:rsidRPr="004B148B">
        <w:rPr>
          <w:u w:val="single"/>
        </w:rPr>
        <w:t>Guidelines for Conferral</w:t>
      </w:r>
      <w:r>
        <w:t>.</w:t>
      </w:r>
      <w:r w:rsidR="00C24293">
        <w:t xml:space="preserve"> </w:t>
      </w:r>
      <w:r w:rsidR="00200FA4">
        <w:t>F</w:t>
      </w:r>
      <w:r w:rsidR="001475F4">
        <w:t>aculty</w:t>
      </w:r>
      <w:r w:rsidR="0098451A">
        <w:t xml:space="preserve"> </w:t>
      </w:r>
      <w:r w:rsidR="00F63976">
        <w:t>and</w:t>
      </w:r>
      <w:r w:rsidR="0098451A">
        <w:t xml:space="preserve"> </w:t>
      </w:r>
      <w:r w:rsidR="001475F4">
        <w:t>unit host</w:t>
      </w:r>
      <w:r w:rsidR="00200FA4">
        <w:t>s</w:t>
      </w:r>
      <w:r w:rsidR="0098451A">
        <w:t xml:space="preserve"> wishing to </w:t>
      </w:r>
      <w:r w:rsidR="0091685B">
        <w:t>invite</w:t>
      </w:r>
      <w:r w:rsidR="0098451A">
        <w:t xml:space="preserve"> a visiting scholar </w:t>
      </w:r>
      <w:r w:rsidR="00F63976">
        <w:t xml:space="preserve">or artist </w:t>
      </w:r>
      <w:r w:rsidR="0091685B">
        <w:t xml:space="preserve">to </w:t>
      </w:r>
      <w:r w:rsidR="00120D7A">
        <w:t>serve in-</w:t>
      </w:r>
      <w:r w:rsidR="0091685B">
        <w:t xml:space="preserve">residence at the university </w:t>
      </w:r>
      <w:r w:rsidR="0098451A">
        <w:t>must issue a joint letter of invitation</w:t>
      </w:r>
      <w:r w:rsidR="00CE1FE3">
        <w:t xml:space="preserve"> and complete VPAA 40a and Visiting Scholar Agreement forms.</w:t>
      </w:r>
      <w:r w:rsidR="00690147">
        <w:t xml:space="preserve"> </w:t>
      </w:r>
    </w:p>
    <w:p w14:paraId="42A915C1" w14:textId="1BC8DCD0" w:rsidR="009736DC" w:rsidRPr="00054778" w:rsidRDefault="009736DC" w:rsidP="00054778">
      <w:pPr>
        <w:pStyle w:val="BodyText"/>
        <w:ind w:left="1440"/>
        <w:rPr>
          <w:rFonts w:asciiTheme="minorHAnsi" w:hAnsiTheme="minorHAnsi" w:cstheme="minorHAnsi"/>
        </w:rPr>
      </w:pPr>
      <w:r w:rsidRPr="00383D20">
        <w:rPr>
          <w:rFonts w:asciiTheme="minorHAnsi" w:hAnsiTheme="minorHAnsi" w:cstheme="minorHAnsi"/>
        </w:rPr>
        <w:t>The length of stay for a visiting scho</w:t>
      </w:r>
      <w:r w:rsidR="001E4643">
        <w:rPr>
          <w:rFonts w:asciiTheme="minorHAnsi" w:hAnsiTheme="minorHAnsi" w:cstheme="minorHAnsi"/>
        </w:rPr>
        <w:t>lar or artist</w:t>
      </w:r>
      <w:r w:rsidR="00120D7A">
        <w:rPr>
          <w:rFonts w:asciiTheme="minorHAnsi" w:hAnsiTheme="minorHAnsi" w:cstheme="minorHAnsi"/>
        </w:rPr>
        <w:t xml:space="preserve"> is at least seven</w:t>
      </w:r>
      <w:r w:rsidRPr="00383D20">
        <w:rPr>
          <w:rFonts w:asciiTheme="minorHAnsi" w:hAnsiTheme="minorHAnsi" w:cstheme="minorHAnsi"/>
        </w:rPr>
        <w:t xml:space="preserve"> consecutive days and</w:t>
      </w:r>
      <w:r w:rsidR="00383D20" w:rsidRPr="00383D20">
        <w:rPr>
          <w:rFonts w:asciiTheme="minorHAnsi" w:hAnsiTheme="minorHAnsi" w:cstheme="minorHAnsi"/>
        </w:rPr>
        <w:t xml:space="preserve"> may be conferred</w:t>
      </w:r>
      <w:r w:rsidRPr="00383D20">
        <w:rPr>
          <w:rFonts w:asciiTheme="minorHAnsi" w:hAnsiTheme="minorHAnsi" w:cstheme="minorHAnsi"/>
        </w:rPr>
        <w:t xml:space="preserve"> </w:t>
      </w:r>
      <w:r w:rsidR="00383D20" w:rsidRPr="00383D20">
        <w:rPr>
          <w:rFonts w:asciiTheme="minorHAnsi" w:hAnsiTheme="minorHAnsi" w:cstheme="minorHAnsi"/>
        </w:rPr>
        <w:t>for</w:t>
      </w:r>
      <w:r w:rsidRPr="00383D20">
        <w:rPr>
          <w:rFonts w:asciiTheme="minorHAnsi" w:hAnsiTheme="minorHAnsi" w:cstheme="minorHAnsi"/>
        </w:rPr>
        <w:t xml:space="preserve"> one year at a time, with a maximum cumulative appointment time of five years</w:t>
      </w:r>
      <w:r w:rsidR="000547F8">
        <w:rPr>
          <w:rFonts w:asciiTheme="minorHAnsi" w:hAnsiTheme="minorHAnsi" w:cstheme="minorHAnsi"/>
        </w:rPr>
        <w:t xml:space="preserve"> within a 10-year </w:t>
      </w:r>
      <w:r w:rsidR="001E4643">
        <w:rPr>
          <w:rFonts w:asciiTheme="minorHAnsi" w:hAnsiTheme="minorHAnsi" w:cstheme="minorHAnsi"/>
        </w:rPr>
        <w:t>period</w:t>
      </w:r>
      <w:r w:rsidR="00383D20" w:rsidRPr="00383D20">
        <w:rPr>
          <w:rFonts w:asciiTheme="minorHAnsi" w:hAnsiTheme="minorHAnsi" w:cstheme="minorHAnsi"/>
        </w:rPr>
        <w:t xml:space="preserve">. </w:t>
      </w:r>
      <w:r w:rsidRPr="00383D20">
        <w:rPr>
          <w:rFonts w:asciiTheme="minorHAnsi" w:hAnsiTheme="minorHAnsi" w:cstheme="minorHAnsi"/>
        </w:rPr>
        <w:t>V</w:t>
      </w:r>
      <w:r w:rsidR="00C8076A">
        <w:rPr>
          <w:rFonts w:asciiTheme="minorHAnsi" w:hAnsiTheme="minorHAnsi" w:cstheme="minorHAnsi"/>
        </w:rPr>
        <w:t xml:space="preserve">isiting scholars and </w:t>
      </w:r>
      <w:r w:rsidR="00FF3798">
        <w:rPr>
          <w:rFonts w:asciiTheme="minorHAnsi" w:hAnsiTheme="minorHAnsi" w:cstheme="minorHAnsi"/>
        </w:rPr>
        <w:t xml:space="preserve">artists </w:t>
      </w:r>
      <w:r w:rsidRPr="00383D20">
        <w:rPr>
          <w:rFonts w:asciiTheme="minorHAnsi" w:hAnsiTheme="minorHAnsi" w:cstheme="minorHAnsi"/>
        </w:rPr>
        <w:t>are not</w:t>
      </w:r>
      <w:r w:rsidR="00C8076A">
        <w:rPr>
          <w:rFonts w:asciiTheme="minorHAnsi" w:hAnsiTheme="minorHAnsi" w:cstheme="minorHAnsi"/>
        </w:rPr>
        <w:t xml:space="preserve"> typically</w:t>
      </w:r>
      <w:r w:rsidR="00054778">
        <w:rPr>
          <w:rFonts w:asciiTheme="minorHAnsi" w:hAnsiTheme="minorHAnsi" w:cstheme="minorHAnsi"/>
        </w:rPr>
        <w:t xml:space="preserve"> </w:t>
      </w:r>
      <w:r w:rsidR="00054778">
        <w:t xml:space="preserve">compensated and will need to provide for their own accommodations and living expenses. </w:t>
      </w:r>
      <w:r w:rsidR="000547F8">
        <w:rPr>
          <w:rFonts w:asciiTheme="minorHAnsi" w:hAnsiTheme="minorHAnsi" w:cstheme="minorHAnsi"/>
        </w:rPr>
        <w:t>The Provost and Vice President for Academic Affairs may</w:t>
      </w:r>
      <w:r w:rsidR="00E37BEA">
        <w:rPr>
          <w:rFonts w:asciiTheme="minorHAnsi" w:hAnsiTheme="minorHAnsi" w:cstheme="minorHAnsi"/>
        </w:rPr>
        <w:t>,</w:t>
      </w:r>
      <w:r w:rsidR="000547F8">
        <w:rPr>
          <w:rFonts w:asciiTheme="minorHAnsi" w:hAnsiTheme="minorHAnsi" w:cstheme="minorHAnsi"/>
        </w:rPr>
        <w:t xml:space="preserve"> </w:t>
      </w:r>
      <w:r w:rsidR="00E37BEA">
        <w:rPr>
          <w:rFonts w:asciiTheme="minorHAnsi" w:hAnsiTheme="minorHAnsi" w:cstheme="minorHAnsi"/>
        </w:rPr>
        <w:t xml:space="preserve">with timely notification given to the faculty and unit hosts, </w:t>
      </w:r>
      <w:r w:rsidR="000547F8">
        <w:rPr>
          <w:rFonts w:asciiTheme="minorHAnsi" w:hAnsiTheme="minorHAnsi" w:cstheme="minorHAnsi"/>
        </w:rPr>
        <w:t>terminate c</w:t>
      </w:r>
      <w:r w:rsidR="00FB52C5">
        <w:rPr>
          <w:rFonts w:asciiTheme="minorHAnsi" w:hAnsiTheme="minorHAnsi" w:cstheme="minorHAnsi"/>
        </w:rPr>
        <w:t>onferrals</w:t>
      </w:r>
      <w:r w:rsidR="000547F8">
        <w:rPr>
          <w:rFonts w:asciiTheme="minorHAnsi" w:hAnsiTheme="minorHAnsi" w:cstheme="minorHAnsi"/>
        </w:rPr>
        <w:t xml:space="preserve"> </w:t>
      </w:r>
      <w:r w:rsidR="00FB52C5">
        <w:rPr>
          <w:rFonts w:asciiTheme="minorHAnsi" w:hAnsiTheme="minorHAnsi" w:cstheme="minorHAnsi"/>
        </w:rPr>
        <w:t>at any time</w:t>
      </w:r>
      <w:r w:rsidR="00E37BEA">
        <w:rPr>
          <w:rFonts w:asciiTheme="minorHAnsi" w:hAnsiTheme="minorHAnsi" w:cstheme="minorHAnsi"/>
        </w:rPr>
        <w:t>.</w:t>
      </w:r>
    </w:p>
    <w:p w14:paraId="0FF87FF6" w14:textId="48E4DE91" w:rsidR="00F63976" w:rsidRDefault="00C24293" w:rsidP="00BF0D08">
      <w:pPr>
        <w:pStyle w:val="BodyText"/>
        <w:numPr>
          <w:ilvl w:val="0"/>
          <w:numId w:val="19"/>
        </w:numPr>
      </w:pPr>
      <w:r>
        <w:rPr>
          <w:u w:val="single"/>
        </w:rPr>
        <w:t>Resources</w:t>
      </w:r>
      <w:r w:rsidRPr="00C24293">
        <w:t>.</w:t>
      </w:r>
      <w:r>
        <w:t xml:space="preserve"> </w:t>
      </w:r>
      <w:r w:rsidR="00F63976">
        <w:t>The faculty and unit hosts will facilitate access to university facilities and resources</w:t>
      </w:r>
      <w:r w:rsidR="001C4842">
        <w:t xml:space="preserve"> in compliance</w:t>
      </w:r>
      <w:r w:rsidR="00F63976">
        <w:t xml:space="preserve"> with university and system policies </w:t>
      </w:r>
      <w:r w:rsidR="001C4842">
        <w:t xml:space="preserve">and </w:t>
      </w:r>
      <w:r w:rsidR="00F63976">
        <w:t xml:space="preserve">Regents Rules. </w:t>
      </w:r>
      <w:r>
        <w:t>Visiting scholars</w:t>
      </w:r>
      <w:r w:rsidR="000547F8">
        <w:t xml:space="preserve"> and artists</w:t>
      </w:r>
      <w:r>
        <w:t xml:space="preserve"> are eligible </w:t>
      </w:r>
      <w:r w:rsidR="001E4643">
        <w:t xml:space="preserve">to use </w:t>
      </w:r>
      <w:r>
        <w:t>office space, access to res</w:t>
      </w:r>
      <w:r w:rsidR="00FF6B66">
        <w:t>ources</w:t>
      </w:r>
      <w:r>
        <w:t xml:space="preserve"> (e.g., libraries and laboratories), </w:t>
      </w:r>
      <w:r w:rsidR="00FF6B66">
        <w:t xml:space="preserve">and </w:t>
      </w:r>
      <w:r w:rsidR="001E4643">
        <w:t>have a</w:t>
      </w:r>
      <w:r>
        <w:t xml:space="preserve"> UNT email address and identifi</w:t>
      </w:r>
      <w:r w:rsidR="002B5B41">
        <w:t>cation card.</w:t>
      </w:r>
      <w:r>
        <w:t xml:space="preserve"> </w:t>
      </w:r>
    </w:p>
    <w:p w14:paraId="4D6C84C5" w14:textId="482AF9B1" w:rsidR="00FB52C5" w:rsidRPr="00FB52C5" w:rsidRDefault="00FB52C5" w:rsidP="00FB52C5">
      <w:pPr>
        <w:pStyle w:val="BodyText"/>
        <w:numPr>
          <w:ilvl w:val="0"/>
          <w:numId w:val="19"/>
        </w:numPr>
        <w:rPr>
          <w:rFonts w:asciiTheme="minorHAnsi" w:hAnsiTheme="minorHAnsi" w:cstheme="minorHAnsi"/>
        </w:rPr>
      </w:pPr>
      <w:r w:rsidRPr="00FB52C5">
        <w:rPr>
          <w:rFonts w:asciiTheme="minorHAnsi" w:hAnsiTheme="minorHAnsi" w:cstheme="minorHAnsi"/>
          <w:u w:val="single"/>
        </w:rPr>
        <w:t>International Visitors</w:t>
      </w:r>
      <w:r w:rsidRPr="00FB52C5">
        <w:rPr>
          <w:rFonts w:asciiTheme="minorHAnsi" w:hAnsiTheme="minorHAnsi" w:cstheme="minorHAnsi"/>
        </w:rPr>
        <w:t xml:space="preserve">. If the proposed visiting scholar or researcher intends to arrive </w:t>
      </w:r>
      <w:r w:rsidR="001E4643">
        <w:rPr>
          <w:rFonts w:asciiTheme="minorHAnsi" w:hAnsiTheme="minorHAnsi" w:cstheme="minorHAnsi"/>
        </w:rPr>
        <w:t>on a J-1 visa sponsored by the u</w:t>
      </w:r>
      <w:r w:rsidRPr="00FB52C5">
        <w:rPr>
          <w:rFonts w:asciiTheme="minorHAnsi" w:hAnsiTheme="minorHAnsi" w:cstheme="minorHAnsi"/>
        </w:rPr>
        <w:t xml:space="preserve">niversity, additional criteria must be met. Potential visitors should contact International Student and Scholar Services. </w:t>
      </w:r>
    </w:p>
    <w:p w14:paraId="54C3B80F" w14:textId="57E2708B" w:rsidR="00DD00D9" w:rsidRDefault="00C24293" w:rsidP="00DD00D9">
      <w:pPr>
        <w:pStyle w:val="BodyText"/>
        <w:numPr>
          <w:ilvl w:val="0"/>
          <w:numId w:val="19"/>
        </w:numPr>
      </w:pPr>
      <w:r>
        <w:rPr>
          <w:u w:val="single"/>
        </w:rPr>
        <w:t>Export Compliance and Research Protection</w:t>
      </w:r>
      <w:r w:rsidRPr="00BF0D08">
        <w:t>.</w:t>
      </w:r>
      <w:r w:rsidR="00DD00D9">
        <w:t xml:space="preserve"> Regardless of the duration or purpose of the visit, in order to comply with federal export control law</w:t>
      </w:r>
      <w:r w:rsidR="00463675">
        <w:t>s</w:t>
      </w:r>
      <w:r w:rsidR="00DD00D9">
        <w:t>, and to comply with UNT’s Export Control Policy 13</w:t>
      </w:r>
      <w:r w:rsidR="00463675">
        <w:t>.010, all proposed</w:t>
      </w:r>
      <w:r w:rsidR="00DD00D9">
        <w:t xml:space="preserve"> Visiting Scholars</w:t>
      </w:r>
      <w:r w:rsidR="001E4643">
        <w:t xml:space="preserve"> and Artists</w:t>
      </w:r>
      <w:r w:rsidR="00DD00D9">
        <w:t xml:space="preserve"> are subject to an export</w:t>
      </w:r>
      <w:r w:rsidR="000547F8">
        <w:t xml:space="preserve"> control review prior to the start of their affiliation</w:t>
      </w:r>
      <w:r w:rsidR="00DD00D9">
        <w:t>.</w:t>
      </w:r>
    </w:p>
    <w:p w14:paraId="67CC2358" w14:textId="6A8D0249" w:rsidR="00DD00D9" w:rsidRDefault="00DD00D9" w:rsidP="00DD00D9">
      <w:pPr>
        <w:pStyle w:val="BodyText"/>
        <w:tabs>
          <w:tab w:val="left" w:pos="1440"/>
        </w:tabs>
        <w:ind w:left="2160" w:hanging="720"/>
      </w:pPr>
      <w:r>
        <w:t xml:space="preserve">A. </w:t>
      </w:r>
      <w:r>
        <w:tab/>
        <w:t>The required export control review will occur in one of the following two ways:</w:t>
      </w:r>
    </w:p>
    <w:p w14:paraId="659C8E03" w14:textId="1F05C333" w:rsidR="00DD00D9" w:rsidRDefault="00DD00D9" w:rsidP="00DD00D9">
      <w:pPr>
        <w:pStyle w:val="BodyText"/>
        <w:numPr>
          <w:ilvl w:val="6"/>
          <w:numId w:val="12"/>
        </w:numPr>
        <w:tabs>
          <w:tab w:val="left" w:pos="1440"/>
        </w:tabs>
      </w:pPr>
      <w:r>
        <w:t xml:space="preserve">International Visiting Scholar </w:t>
      </w:r>
      <w:r w:rsidR="0084344D">
        <w:t xml:space="preserve">or Artist </w:t>
      </w:r>
      <w:r>
        <w:t>on a J-1 Visa Sponsored by the University: For proposed international Visiting Scholars</w:t>
      </w:r>
      <w:r w:rsidR="0084344D">
        <w:t xml:space="preserve"> and Artists</w:t>
      </w:r>
      <w:r>
        <w:t xml:space="preserve"> who will requ</w:t>
      </w:r>
      <w:r w:rsidR="0075576F">
        <w:t xml:space="preserve">ire and receive visa </w:t>
      </w:r>
      <w:r>
        <w:t>sponsorship from the University, the required export control review will be completed as part of the established internal University review p</w:t>
      </w:r>
      <w:r w:rsidR="0075576F">
        <w:t xml:space="preserve">rocess for such visa </w:t>
      </w:r>
      <w:r>
        <w:t>sponsorship.</w:t>
      </w:r>
    </w:p>
    <w:p w14:paraId="5526F8F9" w14:textId="70EA6321" w:rsidR="00C8076A" w:rsidRDefault="00DD00D9" w:rsidP="001E4643">
      <w:pPr>
        <w:pStyle w:val="BodyText"/>
        <w:numPr>
          <w:ilvl w:val="6"/>
          <w:numId w:val="12"/>
        </w:numPr>
        <w:tabs>
          <w:tab w:val="left" w:pos="1440"/>
        </w:tabs>
      </w:pPr>
      <w:r>
        <w:lastRenderedPageBreak/>
        <w:t>Visiting Scholar</w:t>
      </w:r>
      <w:r w:rsidR="0084344D">
        <w:t xml:space="preserve"> or Artist</w:t>
      </w:r>
      <w:r>
        <w:t xml:space="preserve"> Not Requiring Visa S</w:t>
      </w:r>
      <w:r w:rsidR="0075576F">
        <w:t>ponsorship</w:t>
      </w:r>
      <w:r>
        <w:t xml:space="preserve"> from the University: All proposed Visiting Scholars</w:t>
      </w:r>
      <w:r w:rsidR="0084344D">
        <w:t xml:space="preserve"> or Artists</w:t>
      </w:r>
      <w:r>
        <w:t xml:space="preserve"> not processed under the embedded export review referenced </w:t>
      </w:r>
      <w:r w:rsidR="0084344D">
        <w:t>in section V.A.1</w:t>
      </w:r>
      <w:r>
        <w:t xml:space="preserve"> must contact the</w:t>
      </w:r>
      <w:r w:rsidR="0084344D">
        <w:t xml:space="preserve"> Research Integrity and Compliance O</w:t>
      </w:r>
      <w:r>
        <w:t>ffice at least thirty (30) days prior to arrival at University facilities.</w:t>
      </w:r>
    </w:p>
    <w:p w14:paraId="289B8D11" w14:textId="53AE5E00" w:rsidR="00DD00D9" w:rsidRDefault="00DD00D9" w:rsidP="00DD00D9">
      <w:pPr>
        <w:pStyle w:val="BodyText"/>
        <w:ind w:left="2160" w:hanging="720"/>
      </w:pPr>
      <w:r>
        <w:t xml:space="preserve">B. </w:t>
      </w:r>
      <w:r>
        <w:tab/>
        <w:t xml:space="preserve">If, in the determination of the Export Compliance Officer (the “ECO”), any proposed international Visiting Scholar covered under this policy creates a significant export compliance risk, the ECO may, at the Vice President for Research and Innovation (VPRI) and ECO’s discretion, require internal approvals and assurances from the Hosts prior to approving such visits. The VPRI and ECO </w:t>
      </w:r>
      <w:r w:rsidR="004167A5">
        <w:t>may</w:t>
      </w:r>
      <w:r>
        <w:t xml:space="preserve"> withhold approval for any proposed international Visiting Scholar covered under this policy if, in the opinion of the ECO, the visit could result in any violations or significant risk of any violations of U.S. export control laws or regulations. </w:t>
      </w:r>
      <w:r w:rsidR="0084344D">
        <w:t xml:space="preserve">The VPRI and ECO may also withhold approval </w:t>
      </w:r>
      <w:r>
        <w:t xml:space="preserve">if the proposed visit requires an export license or </w:t>
      </w:r>
      <w:r w:rsidR="00C263DA">
        <w:t>approval that the ECO determines</w:t>
      </w:r>
      <w:r>
        <w:t xml:space="preserve"> is unlikely to be timely issued due to the nature of the applicable controls and/or limited time available to seek such license or approval. </w:t>
      </w:r>
    </w:p>
    <w:p w14:paraId="5CD3E699" w14:textId="048AFFB9" w:rsidR="004167A5" w:rsidRDefault="00DD00D9" w:rsidP="004167A5">
      <w:pPr>
        <w:pStyle w:val="BodyText"/>
        <w:numPr>
          <w:ilvl w:val="0"/>
          <w:numId w:val="19"/>
        </w:numPr>
      </w:pPr>
      <w:r>
        <w:rPr>
          <w:u w:val="single"/>
        </w:rPr>
        <w:t>Conflict of Interest</w:t>
      </w:r>
      <w:r w:rsidRPr="00DD00D9">
        <w:t>. Regardless of the duration of the visit, the Host for any proposed Visiting Scholar must ensure that the proposed Visiting Scholar complies with the requirements of UNT’s Conflict of Interest (COI) policy 13.005</w:t>
      </w:r>
      <w:r w:rsidR="004167A5">
        <w:t>. This</w:t>
      </w:r>
      <w:r w:rsidRPr="00DD00D9">
        <w:t xml:space="preserve"> includes submitting COI Disclosure to the</w:t>
      </w:r>
      <w:r w:rsidR="004167A5">
        <w:t xml:space="preserve"> Research Integrity and Compliance Office</w:t>
      </w:r>
      <w:r w:rsidRPr="00DD00D9">
        <w:t xml:space="preserve"> in the event that the Visiting Scholar will be responsible for research in any University research activities. The Research In</w:t>
      </w:r>
      <w:r w:rsidR="004167A5">
        <w:t>tegrity and Compliance O</w:t>
      </w:r>
      <w:r w:rsidRPr="00DD00D9">
        <w:t xml:space="preserve">ffice will review and </w:t>
      </w:r>
      <w:proofErr w:type="gramStart"/>
      <w:r w:rsidRPr="00DD00D9">
        <w:t>make a determination</w:t>
      </w:r>
      <w:proofErr w:type="gramEnd"/>
      <w:r w:rsidRPr="00DD00D9">
        <w:t xml:space="preserve"> of the Significant Financial Interest Disclosures submitted by proposed Visiting Scholars.</w:t>
      </w:r>
    </w:p>
    <w:p w14:paraId="77E50E10" w14:textId="3069905C" w:rsidR="00BF0D08" w:rsidRPr="004167A5" w:rsidRDefault="004167A5" w:rsidP="004167A5">
      <w:pPr>
        <w:pStyle w:val="BodyText"/>
        <w:numPr>
          <w:ilvl w:val="0"/>
          <w:numId w:val="19"/>
        </w:numPr>
      </w:pPr>
      <w:r w:rsidRPr="004167A5">
        <w:rPr>
          <w:u w:val="single"/>
        </w:rPr>
        <w:t>Intellectual Property</w:t>
      </w:r>
      <w:r>
        <w:t>. All visiting scholars and their sponsor institutions will execute the UNT Visiting Scholar Confidentiality and IP Agreement prior to engaging as visiting scholars at UNT. Visiting scholars and artists must file the Visiting Scholar Confidentiality and IP Agreement with the Division of Research and Innovation prior to sharing confidential information belonging to UNT with external parties. Only UNT/UNT System staff with designated signature authority may execute confidentiality agreements on behalf of UNT and UNT Faculty in their roles as employees of UNT. Faculty are encouraged to disclose any preliminary inventions or intellectual property developed prior to a visiting scholar coming to UNT to ensure that Intellectual Property issues including joint ownership and possible export control issues can be managed for the protection of UNT and UNT faculty</w:t>
      </w:r>
    </w:p>
    <w:p w14:paraId="2C1D2276" w14:textId="7F5F9585" w:rsidR="001146A7" w:rsidRPr="00670417" w:rsidRDefault="001146A7" w:rsidP="00670417">
      <w:pPr>
        <w:pStyle w:val="BodyText2"/>
        <w:ind w:left="2520" w:hanging="360"/>
        <w:rPr>
          <w:rFonts w:asciiTheme="minorHAnsi" w:hAnsiTheme="minorHAnsi"/>
        </w:rPr>
      </w:pPr>
      <w:r w:rsidRPr="00670417">
        <w:rPr>
          <w:rFonts w:asciiTheme="minorHAnsi" w:hAnsiTheme="minorHAnsi"/>
          <w:u w:val="single"/>
        </w:rPr>
        <w:t>Responsible Party</w:t>
      </w:r>
      <w:r w:rsidR="00670417" w:rsidRPr="00670417">
        <w:rPr>
          <w:rFonts w:asciiTheme="minorHAnsi" w:hAnsiTheme="minorHAnsi"/>
        </w:rPr>
        <w:t>:</w:t>
      </w:r>
      <w:r w:rsidR="00670417" w:rsidRPr="00670417">
        <w:rPr>
          <w:rFonts w:asciiTheme="minorHAnsi" w:hAnsiTheme="minorHAnsi"/>
        </w:rPr>
        <w:tab/>
      </w:r>
      <w:r w:rsidR="002B5B41">
        <w:rPr>
          <w:rFonts w:asciiTheme="minorHAnsi" w:hAnsiTheme="minorHAnsi"/>
        </w:rPr>
        <w:t>Provost</w:t>
      </w:r>
      <w:r w:rsidR="00F63976">
        <w:rPr>
          <w:rFonts w:asciiTheme="minorHAnsi" w:hAnsiTheme="minorHAnsi"/>
        </w:rPr>
        <w:t xml:space="preserve"> and Vice President for Academic Affairs</w:t>
      </w:r>
      <w:r w:rsidR="002B5B41">
        <w:rPr>
          <w:rFonts w:asciiTheme="minorHAnsi" w:hAnsiTheme="minorHAnsi"/>
        </w:rPr>
        <w:t>,</w:t>
      </w:r>
      <w:r w:rsidR="00F63976">
        <w:rPr>
          <w:rFonts w:asciiTheme="minorHAnsi" w:hAnsiTheme="minorHAnsi"/>
        </w:rPr>
        <w:t xml:space="preserve"> Vice President for Research and Innovation, </w:t>
      </w:r>
      <w:r w:rsidR="001E4643" w:rsidRPr="00FB52C5">
        <w:rPr>
          <w:rFonts w:asciiTheme="minorHAnsi" w:hAnsiTheme="minorHAnsi" w:cstheme="minorHAnsi"/>
        </w:rPr>
        <w:t>International Student and Scholar Services</w:t>
      </w:r>
      <w:r w:rsidR="001E4643">
        <w:rPr>
          <w:rFonts w:asciiTheme="minorHAnsi" w:hAnsiTheme="minorHAnsi" w:cstheme="minorHAnsi"/>
        </w:rPr>
        <w:t>,</w:t>
      </w:r>
      <w:r w:rsidR="001E4643">
        <w:rPr>
          <w:rFonts w:asciiTheme="minorHAnsi" w:hAnsiTheme="minorHAnsi"/>
        </w:rPr>
        <w:t xml:space="preserve"> </w:t>
      </w:r>
      <w:r w:rsidR="00DD00D9">
        <w:rPr>
          <w:rFonts w:asciiTheme="minorHAnsi" w:hAnsiTheme="minorHAnsi"/>
        </w:rPr>
        <w:t xml:space="preserve">Export Compliance Officer, </w:t>
      </w:r>
      <w:r w:rsidR="001E4643" w:rsidRPr="00DD00D9">
        <w:t>Research Integrity and Compliance office</w:t>
      </w:r>
      <w:r w:rsidR="001E4643">
        <w:t xml:space="preserve">, </w:t>
      </w:r>
      <w:r w:rsidR="00F63976">
        <w:t>Dean,</w:t>
      </w:r>
      <w:r w:rsidR="002B5B41">
        <w:rPr>
          <w:rFonts w:asciiTheme="minorHAnsi" w:hAnsiTheme="minorHAnsi"/>
        </w:rPr>
        <w:t xml:space="preserve"> Faculty Host, Unit Host</w:t>
      </w:r>
      <w:r w:rsidR="009721C8">
        <w:rPr>
          <w:rFonts w:asciiTheme="minorHAnsi" w:hAnsiTheme="minorHAnsi"/>
        </w:rPr>
        <w:t>, Sponsoring Institution</w:t>
      </w:r>
    </w:p>
    <w:p w14:paraId="01FA5F62" w14:textId="7E14DDEC" w:rsidR="001146A7" w:rsidRDefault="001146A7" w:rsidP="00D43A05">
      <w:pPr>
        <w:pStyle w:val="Heading1"/>
        <w:rPr>
          <w:rFonts w:asciiTheme="minorHAnsi" w:hAnsiTheme="minorHAnsi"/>
          <w:szCs w:val="24"/>
        </w:rPr>
      </w:pPr>
      <w:r w:rsidRPr="00670417">
        <w:rPr>
          <w:rFonts w:asciiTheme="minorHAnsi" w:hAnsiTheme="minorHAnsi"/>
          <w:b/>
          <w:szCs w:val="24"/>
          <w:u w:val="single"/>
        </w:rPr>
        <w:t>References and Cross-references</w:t>
      </w:r>
      <w:r w:rsidRPr="00670417">
        <w:rPr>
          <w:rFonts w:asciiTheme="minorHAnsi" w:hAnsiTheme="minorHAnsi"/>
          <w:szCs w:val="24"/>
        </w:rPr>
        <w:t xml:space="preserve">. </w:t>
      </w:r>
    </w:p>
    <w:p w14:paraId="7D29D870" w14:textId="5C07983A" w:rsidR="005E379D" w:rsidRPr="005E379D" w:rsidRDefault="00DD00D9" w:rsidP="005E379D">
      <w:pPr>
        <w:pStyle w:val="BodyText"/>
      </w:pPr>
      <w:r>
        <w:t xml:space="preserve">UNT Policy 13.010 Export Controls </w:t>
      </w:r>
    </w:p>
    <w:p w14:paraId="4961367A" w14:textId="157A06C9" w:rsidR="001146A7" w:rsidRDefault="001146A7" w:rsidP="00D43A05">
      <w:pPr>
        <w:pStyle w:val="Heading1"/>
        <w:rPr>
          <w:rFonts w:asciiTheme="minorHAnsi" w:hAnsiTheme="minorHAnsi"/>
          <w:szCs w:val="24"/>
        </w:rPr>
      </w:pPr>
      <w:r w:rsidRPr="00670417">
        <w:rPr>
          <w:rFonts w:asciiTheme="minorHAnsi" w:hAnsiTheme="minorHAnsi"/>
          <w:b/>
          <w:szCs w:val="24"/>
          <w:u w:val="single"/>
        </w:rPr>
        <w:t>Forms and Tools</w:t>
      </w:r>
      <w:r w:rsidRPr="00670417">
        <w:rPr>
          <w:rFonts w:asciiTheme="minorHAnsi" w:hAnsiTheme="minorHAnsi"/>
          <w:b/>
          <w:szCs w:val="24"/>
        </w:rPr>
        <w:t>.</w:t>
      </w:r>
      <w:r w:rsidRPr="00670417">
        <w:rPr>
          <w:rFonts w:asciiTheme="minorHAnsi" w:hAnsiTheme="minorHAnsi"/>
          <w:szCs w:val="24"/>
        </w:rPr>
        <w:t xml:space="preserve"> </w:t>
      </w:r>
    </w:p>
    <w:p w14:paraId="67D34DE5" w14:textId="449F7305" w:rsidR="00DA1CE9" w:rsidRDefault="00DA1CE9" w:rsidP="009721C8">
      <w:pPr>
        <w:pStyle w:val="BodyText"/>
        <w:spacing w:after="0"/>
      </w:pPr>
      <w:r>
        <w:t xml:space="preserve">VPAA 40a </w:t>
      </w:r>
    </w:p>
    <w:p w14:paraId="05630080" w14:textId="536F1707" w:rsidR="002B5B41" w:rsidRDefault="00DA1CE9" w:rsidP="009721C8">
      <w:pPr>
        <w:pStyle w:val="BodyText"/>
        <w:spacing w:after="0"/>
      </w:pPr>
      <w:r>
        <w:t xml:space="preserve">Visiting Scholar </w:t>
      </w:r>
      <w:r w:rsidR="00F63976">
        <w:t>Authorization</w:t>
      </w:r>
    </w:p>
    <w:p w14:paraId="7BE03813" w14:textId="425284B9" w:rsidR="009721C8" w:rsidRPr="002B5B41" w:rsidRDefault="009721C8" w:rsidP="009721C8">
      <w:pPr>
        <w:pStyle w:val="BodyText"/>
        <w:spacing w:after="0"/>
      </w:pPr>
      <w:r>
        <w:t>UNT Visiting Scholar Confidentiality and IP Agreement</w:t>
      </w:r>
    </w:p>
    <w:p w14:paraId="3173C58E" w14:textId="77777777" w:rsidR="001146A7" w:rsidRPr="00670417" w:rsidRDefault="001146A7" w:rsidP="001146A7">
      <w:pPr>
        <w:pStyle w:val="Header"/>
        <w:rPr>
          <w:rFonts w:asciiTheme="minorHAnsi" w:hAnsiTheme="minorHAnsi"/>
        </w:rPr>
      </w:pPr>
    </w:p>
    <w:p w14:paraId="416EAD41" w14:textId="77777777" w:rsidR="001146A7" w:rsidRPr="00670417" w:rsidRDefault="001146A7" w:rsidP="001146A7">
      <w:pPr>
        <w:rPr>
          <w:rFonts w:asciiTheme="minorHAnsi" w:hAnsiTheme="minorHAnsi"/>
        </w:rPr>
      </w:pPr>
      <w:r w:rsidRPr="00670417">
        <w:rPr>
          <w:rFonts w:asciiTheme="minorHAnsi" w:hAnsiTheme="minorHAnsi"/>
        </w:rPr>
        <w:t>Approved:</w:t>
      </w:r>
    </w:p>
    <w:p w14:paraId="4DF97A31" w14:textId="77777777" w:rsidR="001146A7" w:rsidRPr="00670417" w:rsidRDefault="001146A7" w:rsidP="001146A7">
      <w:pPr>
        <w:rPr>
          <w:rFonts w:asciiTheme="minorHAnsi" w:hAnsiTheme="minorHAnsi"/>
        </w:rPr>
      </w:pPr>
      <w:r w:rsidRPr="00670417">
        <w:rPr>
          <w:rFonts w:asciiTheme="minorHAnsi" w:hAnsiTheme="minorHAnsi"/>
        </w:rPr>
        <w:t>Effective:</w:t>
      </w:r>
    </w:p>
    <w:p w14:paraId="610141BD" w14:textId="77777777" w:rsidR="001D2DDB" w:rsidRDefault="001D2DDB"/>
    <w:sectPr w:rsidR="001D2DDB" w:rsidSect="006D6958">
      <w:footerReference w:type="default" r:id="rId11"/>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C77393" w14:textId="77777777" w:rsidR="00E13BF4" w:rsidRDefault="00E13BF4" w:rsidP="00143447">
      <w:r>
        <w:separator/>
      </w:r>
    </w:p>
  </w:endnote>
  <w:endnote w:type="continuationSeparator" w:id="0">
    <w:p w14:paraId="6DB42635" w14:textId="77777777" w:rsidR="00E13BF4" w:rsidRDefault="00E13BF4" w:rsidP="001434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0000000000000000000"/>
    <w:charset w:val="00"/>
    <w:family w:val="roman"/>
    <w:notTrueType/>
    <w:pitch w:val="default"/>
    <w:sig w:usb0="01053AFF" w:usb1="0000008D" w:usb2="00000000" w:usb3="00000000" w:csb0="006609FF" w:csb1="00BD5CC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02227742"/>
      <w:docPartObj>
        <w:docPartGallery w:val="Page Numbers (Bottom of Page)"/>
        <w:docPartUnique/>
      </w:docPartObj>
    </w:sdtPr>
    <w:sdtEndPr>
      <w:rPr>
        <w:noProof/>
      </w:rPr>
    </w:sdtEndPr>
    <w:sdtContent>
      <w:p w14:paraId="41B8B1F7" w14:textId="4F6EC9D2" w:rsidR="001C65A7" w:rsidRDefault="001C65A7">
        <w:pPr>
          <w:pStyle w:val="Footer"/>
          <w:jc w:val="center"/>
        </w:pPr>
        <w:r>
          <w:fldChar w:fldCharType="begin"/>
        </w:r>
        <w:r>
          <w:instrText xml:space="preserve"> PAGE   \* MERGEFORMAT </w:instrText>
        </w:r>
        <w:r>
          <w:fldChar w:fldCharType="separate"/>
        </w:r>
        <w:r w:rsidR="00C263DA">
          <w:rPr>
            <w:noProof/>
          </w:rPr>
          <w:t>4</w:t>
        </w:r>
        <w:r>
          <w:rPr>
            <w:noProof/>
          </w:rPr>
          <w:fldChar w:fldCharType="end"/>
        </w:r>
      </w:p>
    </w:sdtContent>
  </w:sdt>
  <w:p w14:paraId="65903907" w14:textId="77777777" w:rsidR="006D6958" w:rsidRPr="001C65A7" w:rsidRDefault="006D6958" w:rsidP="001C65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2D6D81" w14:textId="77777777" w:rsidR="00E13BF4" w:rsidRDefault="00E13BF4" w:rsidP="00143447">
      <w:r>
        <w:separator/>
      </w:r>
    </w:p>
  </w:footnote>
  <w:footnote w:type="continuationSeparator" w:id="0">
    <w:p w14:paraId="35AA60BA" w14:textId="77777777" w:rsidR="00E13BF4" w:rsidRDefault="00E13BF4" w:rsidP="001434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9D5AFA9A"/>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84C2A8BC"/>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73772CC"/>
    <w:multiLevelType w:val="multilevel"/>
    <w:tmpl w:val="DE1C8CDA"/>
    <w:styleLink w:val="CSCOutlineScheme"/>
    <w:lvl w:ilvl="0">
      <w:start w:val="1"/>
      <w:numFmt w:val="upperRoman"/>
      <w:lvlText w:val="%1."/>
      <w:lvlJc w:val="left"/>
      <w:pPr>
        <w:ind w:left="720" w:hanging="720"/>
      </w:pPr>
      <w:rPr>
        <w:rFonts w:hint="default"/>
      </w:rPr>
    </w:lvl>
    <w:lvl w:ilvl="1">
      <w:start w:val="1"/>
      <w:numFmt w:val="upperLetter"/>
      <w:pStyle w:val="Heading2"/>
      <w:lvlText w:val="%2."/>
      <w:lvlJc w:val="left"/>
      <w:pPr>
        <w:ind w:left="1080" w:hanging="360"/>
      </w:pPr>
      <w:rPr>
        <w:rFonts w:hint="default"/>
      </w:rPr>
    </w:lvl>
    <w:lvl w:ilvl="2">
      <w:start w:val="1"/>
      <w:numFmt w:val="decimal"/>
      <w:pStyle w:val="Heading3"/>
      <w:lvlText w:val="%3."/>
      <w:lvlJc w:val="left"/>
      <w:pPr>
        <w:ind w:left="1440" w:hanging="360"/>
      </w:pPr>
      <w:rPr>
        <w:rFonts w:hint="default"/>
      </w:rPr>
    </w:lvl>
    <w:lvl w:ilvl="3">
      <w:start w:val="1"/>
      <w:numFmt w:val="lowerLetter"/>
      <w:pStyle w:val="Heading4"/>
      <w:lvlText w:val="%4."/>
      <w:lvlJc w:val="left"/>
      <w:pPr>
        <w:ind w:left="1800" w:hanging="360"/>
      </w:pPr>
      <w:rPr>
        <w:rFonts w:hint="default"/>
      </w:rPr>
    </w:lvl>
    <w:lvl w:ilvl="4">
      <w:start w:val="1"/>
      <w:numFmt w:val="lowerRoman"/>
      <w:pStyle w:val="Heading5"/>
      <w:lvlText w:val="%5."/>
      <w:lvlJc w:val="left"/>
      <w:pPr>
        <w:ind w:left="252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3500592"/>
    <w:multiLevelType w:val="multilevel"/>
    <w:tmpl w:val="E78EEFFE"/>
    <w:styleLink w:val="UNTPolicyNumbering"/>
    <w:lvl w:ilvl="0">
      <w:start w:val="1"/>
      <w:numFmt w:val="decimalZero"/>
      <w:suff w:val="nothing"/>
      <w:lvlText w:val="Chapter %1"/>
      <w:lvlJc w:val="left"/>
      <w:pPr>
        <w:ind w:left="0" w:firstLine="0"/>
      </w:pPr>
      <w:rPr>
        <w:rFonts w:hint="default"/>
      </w:rPr>
    </w:lvl>
    <w:lvl w:ilvl="1">
      <w:start w:val="100"/>
      <w:numFmt w:val="decimal"/>
      <w:lvlText w:val="%1.%2"/>
      <w:lvlJc w:val="left"/>
      <w:pPr>
        <w:tabs>
          <w:tab w:val="num" w:pos="1080"/>
        </w:tabs>
        <w:ind w:left="1080" w:hanging="1080"/>
      </w:pPr>
      <w:rPr>
        <w:rFonts w:hint="default"/>
      </w:rPr>
    </w:lvl>
    <w:lvl w:ilvl="2">
      <w:start w:val="1"/>
      <w:numFmt w:val="decimal"/>
      <w:lvlText w:val="%3."/>
      <w:lvlJc w:val="left"/>
      <w:pPr>
        <w:tabs>
          <w:tab w:val="num" w:pos="1800"/>
        </w:tabs>
        <w:ind w:left="1800" w:hanging="720"/>
      </w:pPr>
      <w:rPr>
        <w:rFonts w:hint="default"/>
      </w:rPr>
    </w:lvl>
    <w:lvl w:ilvl="3">
      <w:start w:val="1"/>
      <w:numFmt w:val="lowerLetter"/>
      <w:lvlText w:val="%4."/>
      <w:lvlJc w:val="left"/>
      <w:pPr>
        <w:tabs>
          <w:tab w:val="num" w:pos="2520"/>
        </w:tabs>
        <w:ind w:left="2520" w:hanging="720"/>
      </w:pPr>
      <w:rPr>
        <w:rFonts w:hint="default"/>
      </w:rPr>
    </w:lvl>
    <w:lvl w:ilvl="4">
      <w:start w:val="1"/>
      <w:numFmt w:val="lowerRoman"/>
      <w:lvlText w:val="%5."/>
      <w:lvlJc w:val="left"/>
      <w:pPr>
        <w:tabs>
          <w:tab w:val="num" w:pos="3240"/>
        </w:tabs>
        <w:ind w:left="324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9B74187"/>
    <w:multiLevelType w:val="hybridMultilevel"/>
    <w:tmpl w:val="17C67BA2"/>
    <w:lvl w:ilvl="0" w:tplc="0E16BEC0">
      <w:start w:val="1"/>
      <w:numFmt w:val="upperRoman"/>
      <w:lvlText w:val="%1."/>
      <w:lvlJc w:val="left"/>
      <w:pPr>
        <w:ind w:left="1440" w:hanging="720"/>
      </w:pPr>
      <w:rPr>
        <w:rFonts w:hint="default"/>
      </w:rPr>
    </w:lvl>
    <w:lvl w:ilvl="1" w:tplc="04090015">
      <w:start w:val="1"/>
      <w:numFmt w:val="upperLetter"/>
      <w:lvlText w:val="%2."/>
      <w:lvlJc w:val="left"/>
      <w:pPr>
        <w:ind w:left="1800" w:hanging="360"/>
      </w:pPr>
    </w:lvl>
    <w:lvl w:ilvl="2" w:tplc="0409000F">
      <w:start w:val="1"/>
      <w:numFmt w:val="decimal"/>
      <w:lvlText w:val="%3."/>
      <w:lvlJc w:val="lef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0A17D26"/>
    <w:multiLevelType w:val="multilevel"/>
    <w:tmpl w:val="E78EEFFE"/>
    <w:lvl w:ilvl="0">
      <w:start w:val="1"/>
      <w:numFmt w:val="decimalZero"/>
      <w:suff w:val="nothing"/>
      <w:lvlText w:val="Chapter %1"/>
      <w:lvlJc w:val="left"/>
      <w:pPr>
        <w:ind w:left="0" w:firstLine="0"/>
      </w:pPr>
      <w:rPr>
        <w:rFonts w:hint="default"/>
      </w:rPr>
    </w:lvl>
    <w:lvl w:ilvl="1">
      <w:start w:val="100"/>
      <w:numFmt w:val="decimal"/>
      <w:lvlText w:val="%1.%2"/>
      <w:lvlJc w:val="left"/>
      <w:pPr>
        <w:tabs>
          <w:tab w:val="num" w:pos="1080"/>
        </w:tabs>
        <w:ind w:left="1080" w:hanging="1080"/>
      </w:pPr>
      <w:rPr>
        <w:rFonts w:hint="default"/>
      </w:rPr>
    </w:lvl>
    <w:lvl w:ilvl="2">
      <w:start w:val="1"/>
      <w:numFmt w:val="decimal"/>
      <w:lvlText w:val="%3."/>
      <w:lvlJc w:val="left"/>
      <w:pPr>
        <w:tabs>
          <w:tab w:val="num" w:pos="1800"/>
        </w:tabs>
        <w:ind w:left="1800" w:hanging="720"/>
      </w:pPr>
      <w:rPr>
        <w:rFonts w:hint="default"/>
      </w:rPr>
    </w:lvl>
    <w:lvl w:ilvl="3">
      <w:start w:val="1"/>
      <w:numFmt w:val="lowerLetter"/>
      <w:lvlText w:val="%4."/>
      <w:lvlJc w:val="left"/>
      <w:pPr>
        <w:tabs>
          <w:tab w:val="num" w:pos="2520"/>
        </w:tabs>
        <w:ind w:left="2520" w:hanging="720"/>
      </w:pPr>
      <w:rPr>
        <w:rFonts w:hint="default"/>
      </w:rPr>
    </w:lvl>
    <w:lvl w:ilvl="4">
      <w:start w:val="1"/>
      <w:numFmt w:val="lowerRoman"/>
      <w:lvlText w:val="%5."/>
      <w:lvlJc w:val="left"/>
      <w:pPr>
        <w:tabs>
          <w:tab w:val="num" w:pos="3240"/>
        </w:tabs>
        <w:ind w:left="324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790D3A0F"/>
    <w:multiLevelType w:val="hybridMultilevel"/>
    <w:tmpl w:val="7E9A3C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7E240CE2"/>
    <w:multiLevelType w:val="hybridMultilevel"/>
    <w:tmpl w:val="2ECCC402"/>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num w:numId="1">
    <w:abstractNumId w:val="2"/>
  </w:num>
  <w:num w:numId="2">
    <w:abstractNumId w:val="2"/>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1"/>
  </w:num>
  <w:num w:numId="14">
    <w:abstractNumId w:val="0"/>
  </w:num>
  <w:num w:numId="15">
    <w:abstractNumId w:val="3"/>
  </w:num>
  <w:num w:numId="16">
    <w:abstractNumId w:val="5"/>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4"/>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SortMethod w:val="00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wdStampTxt" w:val="*00060739-2"/>
  </w:docVars>
  <w:rsids>
    <w:rsidRoot w:val="00E16D9C"/>
    <w:rsid w:val="00054778"/>
    <w:rsid w:val="000547F8"/>
    <w:rsid w:val="000F0AF9"/>
    <w:rsid w:val="000F439E"/>
    <w:rsid w:val="001146A7"/>
    <w:rsid w:val="00120D7A"/>
    <w:rsid w:val="00143447"/>
    <w:rsid w:val="001475F4"/>
    <w:rsid w:val="001A184C"/>
    <w:rsid w:val="001C4842"/>
    <w:rsid w:val="001C4D67"/>
    <w:rsid w:val="001C65A7"/>
    <w:rsid w:val="001D2DDB"/>
    <w:rsid w:val="001E200A"/>
    <w:rsid w:val="001E39F3"/>
    <w:rsid w:val="001E4643"/>
    <w:rsid w:val="00200FA4"/>
    <w:rsid w:val="0023455E"/>
    <w:rsid w:val="002B5B41"/>
    <w:rsid w:val="003672E7"/>
    <w:rsid w:val="00383D20"/>
    <w:rsid w:val="003B107C"/>
    <w:rsid w:val="004167A5"/>
    <w:rsid w:val="00444A14"/>
    <w:rsid w:val="004450A6"/>
    <w:rsid w:val="00463675"/>
    <w:rsid w:val="004954B2"/>
    <w:rsid w:val="004B148B"/>
    <w:rsid w:val="004B240C"/>
    <w:rsid w:val="004C0161"/>
    <w:rsid w:val="005242FB"/>
    <w:rsid w:val="00591E70"/>
    <w:rsid w:val="00593D90"/>
    <w:rsid w:val="00596FC5"/>
    <w:rsid w:val="005E379D"/>
    <w:rsid w:val="0062031A"/>
    <w:rsid w:val="006215E5"/>
    <w:rsid w:val="00625A37"/>
    <w:rsid w:val="006311B7"/>
    <w:rsid w:val="0064558B"/>
    <w:rsid w:val="006509CD"/>
    <w:rsid w:val="00670417"/>
    <w:rsid w:val="00671A2D"/>
    <w:rsid w:val="00690147"/>
    <w:rsid w:val="006D6958"/>
    <w:rsid w:val="00747354"/>
    <w:rsid w:val="00747FDB"/>
    <w:rsid w:val="0075576F"/>
    <w:rsid w:val="00760F29"/>
    <w:rsid w:val="0078149E"/>
    <w:rsid w:val="008110FA"/>
    <w:rsid w:val="0084344D"/>
    <w:rsid w:val="008F7B2E"/>
    <w:rsid w:val="0091685B"/>
    <w:rsid w:val="00922D10"/>
    <w:rsid w:val="009668B5"/>
    <w:rsid w:val="009721C8"/>
    <w:rsid w:val="009736DC"/>
    <w:rsid w:val="0098451A"/>
    <w:rsid w:val="00A00EFC"/>
    <w:rsid w:val="00A16B35"/>
    <w:rsid w:val="00AE2E6C"/>
    <w:rsid w:val="00B14A6C"/>
    <w:rsid w:val="00B84F96"/>
    <w:rsid w:val="00BF0D08"/>
    <w:rsid w:val="00C24293"/>
    <w:rsid w:val="00C263DA"/>
    <w:rsid w:val="00C2715E"/>
    <w:rsid w:val="00C4365C"/>
    <w:rsid w:val="00C8076A"/>
    <w:rsid w:val="00C84929"/>
    <w:rsid w:val="00CD4B5A"/>
    <w:rsid w:val="00CE1FE3"/>
    <w:rsid w:val="00D3262C"/>
    <w:rsid w:val="00D37004"/>
    <w:rsid w:val="00D37A5D"/>
    <w:rsid w:val="00D43A05"/>
    <w:rsid w:val="00DA1CE9"/>
    <w:rsid w:val="00DB17F1"/>
    <w:rsid w:val="00DC34E7"/>
    <w:rsid w:val="00DD00D9"/>
    <w:rsid w:val="00E13BF4"/>
    <w:rsid w:val="00E16D9C"/>
    <w:rsid w:val="00E301D8"/>
    <w:rsid w:val="00E37BEA"/>
    <w:rsid w:val="00E82238"/>
    <w:rsid w:val="00E870A2"/>
    <w:rsid w:val="00F37D02"/>
    <w:rsid w:val="00F63976"/>
    <w:rsid w:val="00F71BC8"/>
    <w:rsid w:val="00F80B42"/>
    <w:rsid w:val="00F8247E"/>
    <w:rsid w:val="00F865E4"/>
    <w:rsid w:val="00FB085B"/>
    <w:rsid w:val="00FB52C5"/>
    <w:rsid w:val="00FD3F47"/>
    <w:rsid w:val="00FE5630"/>
    <w:rsid w:val="00FF3798"/>
    <w:rsid w:val="00FF6B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AA2C1C"/>
  <w15:docId w15:val="{3FB88C27-3BEF-4577-A16B-BADCF99AF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Note Heading" w:semiHidden="1" w:unhideWhenUsed="1"/>
    <w:lsdException w:name="Body Text 2" w:semiHidden="1" w:uiPriority="0" w:unhideWhenUsed="1"/>
    <w:lsdException w:name="Body Text Indent 2" w:semiHidden="1" w:unhideWhenUsed="1"/>
    <w:lsdException w:name="Body Text Indent 3"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unhideWhenUsed="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379D"/>
    <w:rPr>
      <w:rFonts w:ascii="Calibri" w:eastAsia="Times New Roman" w:hAnsi="Calibri"/>
    </w:rPr>
  </w:style>
  <w:style w:type="paragraph" w:styleId="Heading1">
    <w:name w:val="heading 1"/>
    <w:basedOn w:val="Normal"/>
    <w:next w:val="BodyText"/>
    <w:link w:val="Heading1Char"/>
    <w:qFormat/>
    <w:rsid w:val="001A184C"/>
    <w:pPr>
      <w:keepNext/>
      <w:keepLines/>
      <w:spacing w:after="240"/>
      <w:outlineLvl w:val="0"/>
    </w:pPr>
    <w:rPr>
      <w:rFonts w:eastAsiaTheme="majorEastAsia" w:cstheme="majorBidi"/>
      <w:bCs/>
      <w:szCs w:val="28"/>
    </w:rPr>
  </w:style>
  <w:style w:type="paragraph" w:styleId="Heading2">
    <w:name w:val="heading 2"/>
    <w:basedOn w:val="Normal"/>
    <w:next w:val="BodyText2"/>
    <w:link w:val="Heading2Char"/>
    <w:qFormat/>
    <w:rsid w:val="00D3262C"/>
    <w:pPr>
      <w:numPr>
        <w:ilvl w:val="1"/>
        <w:numId w:val="12"/>
      </w:numPr>
      <w:spacing w:after="240"/>
      <w:outlineLvl w:val="1"/>
    </w:pPr>
    <w:rPr>
      <w:rFonts w:ascii="Times New Roman Bold" w:eastAsiaTheme="majorEastAsia" w:hAnsi="Times New Roman Bold" w:cstheme="majorBidi"/>
      <w:b/>
      <w:bCs/>
      <w:szCs w:val="26"/>
    </w:rPr>
  </w:style>
  <w:style w:type="paragraph" w:styleId="Heading3">
    <w:name w:val="heading 3"/>
    <w:basedOn w:val="Normal"/>
    <w:link w:val="Heading3Char"/>
    <w:qFormat/>
    <w:rsid w:val="001A184C"/>
    <w:pPr>
      <w:numPr>
        <w:ilvl w:val="2"/>
        <w:numId w:val="12"/>
      </w:numPr>
      <w:spacing w:after="240"/>
      <w:ind w:left="1080"/>
      <w:outlineLvl w:val="2"/>
    </w:pPr>
    <w:rPr>
      <w:rFonts w:eastAsiaTheme="majorEastAsia" w:cstheme="majorBidi"/>
      <w:bCs/>
    </w:rPr>
  </w:style>
  <w:style w:type="paragraph" w:styleId="Heading4">
    <w:name w:val="heading 4"/>
    <w:basedOn w:val="Normal"/>
    <w:link w:val="Heading4Char"/>
    <w:qFormat/>
    <w:rsid w:val="00D3262C"/>
    <w:pPr>
      <w:numPr>
        <w:ilvl w:val="3"/>
        <w:numId w:val="12"/>
      </w:numPr>
      <w:spacing w:after="240"/>
      <w:outlineLvl w:val="3"/>
    </w:pPr>
    <w:rPr>
      <w:rFonts w:eastAsiaTheme="majorEastAsia" w:cstheme="majorBidi"/>
      <w:bCs/>
      <w:iCs/>
    </w:rPr>
  </w:style>
  <w:style w:type="paragraph" w:styleId="Heading5">
    <w:name w:val="heading 5"/>
    <w:basedOn w:val="Normal"/>
    <w:link w:val="Heading5Char"/>
    <w:qFormat/>
    <w:rsid w:val="00D3262C"/>
    <w:pPr>
      <w:numPr>
        <w:ilvl w:val="4"/>
        <w:numId w:val="12"/>
      </w:numPr>
      <w:spacing w:after="240"/>
      <w:outlineLvl w:val="4"/>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A184C"/>
    <w:rPr>
      <w:rFonts w:eastAsiaTheme="majorEastAsia" w:cstheme="majorBidi"/>
      <w:bCs/>
      <w:szCs w:val="28"/>
    </w:rPr>
  </w:style>
  <w:style w:type="character" w:customStyle="1" w:styleId="Heading2Char">
    <w:name w:val="Heading 2 Char"/>
    <w:basedOn w:val="DefaultParagraphFont"/>
    <w:link w:val="Heading2"/>
    <w:rsid w:val="00444A14"/>
    <w:rPr>
      <w:rFonts w:ascii="Times New Roman Bold" w:eastAsiaTheme="majorEastAsia" w:hAnsi="Times New Roman Bold" w:cstheme="majorBidi"/>
      <w:b/>
      <w:bCs/>
      <w:szCs w:val="26"/>
    </w:rPr>
  </w:style>
  <w:style w:type="paragraph" w:styleId="ListParagraph">
    <w:name w:val="List Paragraph"/>
    <w:basedOn w:val="Normal"/>
    <w:uiPriority w:val="34"/>
    <w:unhideWhenUsed/>
    <w:qFormat/>
    <w:rsid w:val="00D3262C"/>
    <w:pPr>
      <w:ind w:left="720"/>
      <w:contextualSpacing/>
    </w:pPr>
  </w:style>
  <w:style w:type="paragraph" w:styleId="BodyText">
    <w:name w:val="Body Text"/>
    <w:basedOn w:val="Normal"/>
    <w:link w:val="BodyTextChar"/>
    <w:uiPriority w:val="99"/>
    <w:rsid w:val="001146A7"/>
    <w:pPr>
      <w:spacing w:after="240"/>
    </w:pPr>
  </w:style>
  <w:style w:type="character" w:customStyle="1" w:styleId="BodyTextChar">
    <w:name w:val="Body Text Char"/>
    <w:basedOn w:val="DefaultParagraphFont"/>
    <w:link w:val="BodyText"/>
    <w:uiPriority w:val="99"/>
    <w:rsid w:val="001146A7"/>
    <w:rPr>
      <w:rFonts w:eastAsia="Times New Roman"/>
    </w:rPr>
  </w:style>
  <w:style w:type="paragraph" w:styleId="BodyText2">
    <w:name w:val="Body Text 2"/>
    <w:basedOn w:val="Normal"/>
    <w:link w:val="BodyText2Char"/>
    <w:rsid w:val="00D43A05"/>
    <w:pPr>
      <w:spacing w:after="240"/>
      <w:ind w:left="2160"/>
    </w:pPr>
  </w:style>
  <w:style w:type="character" w:customStyle="1" w:styleId="BodyText2Char">
    <w:name w:val="Body Text 2 Char"/>
    <w:basedOn w:val="DefaultParagraphFont"/>
    <w:link w:val="BodyText2"/>
    <w:rsid w:val="00D43A05"/>
    <w:rPr>
      <w:rFonts w:eastAsia="Times New Roman"/>
    </w:rPr>
  </w:style>
  <w:style w:type="numbering" w:customStyle="1" w:styleId="CSCOutlineScheme">
    <w:name w:val="CSC Outline Scheme"/>
    <w:uiPriority w:val="99"/>
    <w:rsid w:val="00D3262C"/>
    <w:pPr>
      <w:numPr>
        <w:numId w:val="1"/>
      </w:numPr>
    </w:pPr>
  </w:style>
  <w:style w:type="paragraph" w:styleId="Header">
    <w:name w:val="header"/>
    <w:basedOn w:val="Normal"/>
    <w:link w:val="HeaderChar"/>
    <w:unhideWhenUsed/>
    <w:rsid w:val="00D3262C"/>
    <w:pPr>
      <w:tabs>
        <w:tab w:val="center" w:pos="4680"/>
        <w:tab w:val="right" w:pos="9360"/>
      </w:tabs>
    </w:pPr>
  </w:style>
  <w:style w:type="character" w:customStyle="1" w:styleId="HeaderChar">
    <w:name w:val="Header Char"/>
    <w:basedOn w:val="DefaultParagraphFont"/>
    <w:link w:val="Header"/>
    <w:uiPriority w:val="99"/>
    <w:rsid w:val="00444A14"/>
  </w:style>
  <w:style w:type="character" w:customStyle="1" w:styleId="Heading3Char">
    <w:name w:val="Heading 3 Char"/>
    <w:basedOn w:val="DefaultParagraphFont"/>
    <w:link w:val="Heading3"/>
    <w:rsid w:val="001A184C"/>
    <w:rPr>
      <w:rFonts w:eastAsiaTheme="majorEastAsia" w:cstheme="majorBidi"/>
      <w:bCs/>
    </w:rPr>
  </w:style>
  <w:style w:type="character" w:customStyle="1" w:styleId="Heading4Char">
    <w:name w:val="Heading 4 Char"/>
    <w:basedOn w:val="DefaultParagraphFont"/>
    <w:link w:val="Heading4"/>
    <w:uiPriority w:val="9"/>
    <w:rsid w:val="00444A14"/>
    <w:rPr>
      <w:rFonts w:eastAsiaTheme="majorEastAsia" w:cstheme="majorBidi"/>
      <w:bCs/>
      <w:iCs/>
    </w:rPr>
  </w:style>
  <w:style w:type="character" w:customStyle="1" w:styleId="Heading5Char">
    <w:name w:val="Heading 5 Char"/>
    <w:basedOn w:val="DefaultParagraphFont"/>
    <w:link w:val="Heading5"/>
    <w:uiPriority w:val="9"/>
    <w:rsid w:val="00444A14"/>
    <w:rPr>
      <w:rFonts w:eastAsiaTheme="majorEastAsia" w:cstheme="majorBidi"/>
    </w:rPr>
  </w:style>
  <w:style w:type="paragraph" w:styleId="DocumentMap">
    <w:name w:val="Document Map"/>
    <w:basedOn w:val="Normal"/>
    <w:link w:val="DocumentMapChar"/>
    <w:uiPriority w:val="99"/>
    <w:semiHidden/>
    <w:unhideWhenUsed/>
    <w:rsid w:val="00D3262C"/>
    <w:rPr>
      <w:rFonts w:ascii="Tahoma" w:hAnsi="Tahoma" w:cs="Tahoma"/>
      <w:sz w:val="16"/>
      <w:szCs w:val="16"/>
    </w:rPr>
  </w:style>
  <w:style w:type="character" w:customStyle="1" w:styleId="DocumentMapChar">
    <w:name w:val="Document Map Char"/>
    <w:basedOn w:val="DefaultParagraphFont"/>
    <w:link w:val="DocumentMap"/>
    <w:uiPriority w:val="99"/>
    <w:semiHidden/>
    <w:rsid w:val="00444A14"/>
    <w:rPr>
      <w:rFonts w:ascii="Tahoma" w:hAnsi="Tahoma" w:cs="Tahoma"/>
      <w:sz w:val="16"/>
      <w:szCs w:val="16"/>
    </w:rPr>
  </w:style>
  <w:style w:type="paragraph" w:styleId="Footer">
    <w:name w:val="footer"/>
    <w:basedOn w:val="Normal"/>
    <w:link w:val="FooterChar"/>
    <w:uiPriority w:val="99"/>
    <w:unhideWhenUsed/>
    <w:rsid w:val="00D3262C"/>
    <w:pPr>
      <w:tabs>
        <w:tab w:val="center" w:pos="4680"/>
        <w:tab w:val="right" w:pos="9360"/>
      </w:tabs>
    </w:pPr>
  </w:style>
  <w:style w:type="character" w:customStyle="1" w:styleId="FooterChar">
    <w:name w:val="Footer Char"/>
    <w:basedOn w:val="DefaultParagraphFont"/>
    <w:link w:val="Footer"/>
    <w:uiPriority w:val="99"/>
    <w:rsid w:val="00444A14"/>
  </w:style>
  <w:style w:type="character" w:styleId="Hyperlink">
    <w:name w:val="Hyperlink"/>
    <w:basedOn w:val="DefaultParagraphFont"/>
    <w:uiPriority w:val="99"/>
    <w:semiHidden/>
    <w:unhideWhenUsed/>
    <w:rsid w:val="00D3262C"/>
    <w:rPr>
      <w:color w:val="0000FF" w:themeColor="hyperlink"/>
      <w:u w:val="single"/>
    </w:rPr>
  </w:style>
  <w:style w:type="paragraph" w:styleId="TOC1">
    <w:name w:val="toc 1"/>
    <w:basedOn w:val="Normal"/>
    <w:next w:val="Normal"/>
    <w:autoRedefine/>
    <w:uiPriority w:val="39"/>
    <w:semiHidden/>
    <w:unhideWhenUsed/>
    <w:rsid w:val="00D3262C"/>
    <w:pPr>
      <w:tabs>
        <w:tab w:val="left" w:pos="720"/>
        <w:tab w:val="right" w:leader="dot" w:pos="9350"/>
      </w:tabs>
      <w:spacing w:before="240"/>
      <w:ind w:left="720" w:hanging="720"/>
    </w:pPr>
    <w:rPr>
      <w:b/>
      <w:noProof/>
    </w:rPr>
  </w:style>
  <w:style w:type="paragraph" w:styleId="TOC2">
    <w:name w:val="toc 2"/>
    <w:basedOn w:val="Normal"/>
    <w:next w:val="Normal"/>
    <w:autoRedefine/>
    <w:uiPriority w:val="39"/>
    <w:semiHidden/>
    <w:unhideWhenUsed/>
    <w:rsid w:val="00D3262C"/>
    <w:pPr>
      <w:tabs>
        <w:tab w:val="left" w:pos="1440"/>
        <w:tab w:val="right" w:leader="dot" w:pos="9350"/>
      </w:tabs>
      <w:ind w:left="720"/>
    </w:pPr>
  </w:style>
  <w:style w:type="numbering" w:customStyle="1" w:styleId="UNTPolicyNumbering">
    <w:name w:val="UNT Policy Numbering"/>
    <w:uiPriority w:val="99"/>
    <w:rsid w:val="001146A7"/>
    <w:pPr>
      <w:numPr>
        <w:numId w:val="15"/>
      </w:numPr>
    </w:pPr>
  </w:style>
  <w:style w:type="paragraph" w:customStyle="1" w:styleId="Default">
    <w:name w:val="Default"/>
    <w:rsid w:val="004B240C"/>
    <w:pPr>
      <w:autoSpaceDE w:val="0"/>
      <w:autoSpaceDN w:val="0"/>
      <w:adjustRightInd w:val="0"/>
      <w:jc w:val="left"/>
    </w:pPr>
    <w:rPr>
      <w:rFonts w:ascii="Book Antiqua" w:hAnsi="Book Antiqua" w:cs="Book Antiqua"/>
      <w:color w:val="000000"/>
    </w:rPr>
  </w:style>
  <w:style w:type="paragraph" w:styleId="BalloonText">
    <w:name w:val="Balloon Text"/>
    <w:basedOn w:val="Normal"/>
    <w:link w:val="BalloonTextChar"/>
    <w:uiPriority w:val="99"/>
    <w:semiHidden/>
    <w:unhideWhenUsed/>
    <w:rsid w:val="009721C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21C8"/>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C84929"/>
    <w:rPr>
      <w:sz w:val="16"/>
      <w:szCs w:val="16"/>
    </w:rPr>
  </w:style>
  <w:style w:type="paragraph" w:styleId="CommentText">
    <w:name w:val="annotation text"/>
    <w:basedOn w:val="Normal"/>
    <w:link w:val="CommentTextChar"/>
    <w:uiPriority w:val="99"/>
    <w:semiHidden/>
    <w:unhideWhenUsed/>
    <w:rsid w:val="00C84929"/>
    <w:rPr>
      <w:sz w:val="20"/>
      <w:szCs w:val="20"/>
    </w:rPr>
  </w:style>
  <w:style w:type="character" w:customStyle="1" w:styleId="CommentTextChar">
    <w:name w:val="Comment Text Char"/>
    <w:basedOn w:val="DefaultParagraphFont"/>
    <w:link w:val="CommentText"/>
    <w:uiPriority w:val="99"/>
    <w:semiHidden/>
    <w:rsid w:val="00C84929"/>
    <w:rPr>
      <w:rFonts w:ascii="Calibri" w:eastAsia="Times New Roman" w:hAnsi="Calibri"/>
      <w:sz w:val="20"/>
      <w:szCs w:val="20"/>
    </w:rPr>
  </w:style>
  <w:style w:type="paragraph" w:styleId="CommentSubject">
    <w:name w:val="annotation subject"/>
    <w:basedOn w:val="CommentText"/>
    <w:next w:val="CommentText"/>
    <w:link w:val="CommentSubjectChar"/>
    <w:uiPriority w:val="99"/>
    <w:semiHidden/>
    <w:unhideWhenUsed/>
    <w:rsid w:val="00C84929"/>
    <w:rPr>
      <w:b/>
      <w:bCs/>
    </w:rPr>
  </w:style>
  <w:style w:type="character" w:customStyle="1" w:styleId="CommentSubjectChar">
    <w:name w:val="Comment Subject Char"/>
    <w:basedOn w:val="CommentTextChar"/>
    <w:link w:val="CommentSubject"/>
    <w:uiPriority w:val="99"/>
    <w:semiHidden/>
    <w:rsid w:val="00C84929"/>
    <w:rPr>
      <w:rFonts w:ascii="Calibri" w:eastAsia="Times New Roman" w:hAnsi="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8943992">
      <w:bodyDiv w:val="1"/>
      <w:marLeft w:val="0"/>
      <w:marRight w:val="0"/>
      <w:marTop w:val="0"/>
      <w:marBottom w:val="0"/>
      <w:divBdr>
        <w:top w:val="none" w:sz="0" w:space="0" w:color="auto"/>
        <w:left w:val="none" w:sz="0" w:space="0" w:color="auto"/>
        <w:bottom w:val="none" w:sz="0" w:space="0" w:color="auto"/>
        <w:right w:val="none" w:sz="0" w:space="0" w:color="auto"/>
      </w:divBdr>
    </w:div>
    <w:div w:id="801076135">
      <w:bodyDiv w:val="1"/>
      <w:marLeft w:val="0"/>
      <w:marRight w:val="0"/>
      <w:marTop w:val="0"/>
      <w:marBottom w:val="0"/>
      <w:divBdr>
        <w:top w:val="none" w:sz="0" w:space="0" w:color="auto"/>
        <w:left w:val="none" w:sz="0" w:space="0" w:color="auto"/>
        <w:bottom w:val="none" w:sz="0" w:space="0" w:color="auto"/>
        <w:right w:val="none" w:sz="0" w:space="0" w:color="auto"/>
      </w:divBdr>
    </w:div>
    <w:div w:id="833690149">
      <w:bodyDiv w:val="1"/>
      <w:marLeft w:val="0"/>
      <w:marRight w:val="0"/>
      <w:marTop w:val="0"/>
      <w:marBottom w:val="0"/>
      <w:divBdr>
        <w:top w:val="none" w:sz="0" w:space="0" w:color="auto"/>
        <w:left w:val="none" w:sz="0" w:space="0" w:color="auto"/>
        <w:bottom w:val="none" w:sz="0" w:space="0" w:color="auto"/>
        <w:right w:val="none" w:sz="0" w:space="0" w:color="auto"/>
      </w:divBdr>
    </w:div>
    <w:div w:id="1395616757">
      <w:bodyDiv w:val="1"/>
      <w:marLeft w:val="0"/>
      <w:marRight w:val="0"/>
      <w:marTop w:val="0"/>
      <w:marBottom w:val="0"/>
      <w:divBdr>
        <w:top w:val="none" w:sz="0" w:space="0" w:color="auto"/>
        <w:left w:val="none" w:sz="0" w:space="0" w:color="auto"/>
        <w:bottom w:val="none" w:sz="0" w:space="0" w:color="auto"/>
        <w:right w:val="none" w:sz="0" w:space="0" w:color="auto"/>
      </w:divBdr>
    </w:div>
    <w:div w:id="1614901547">
      <w:bodyDiv w:val="1"/>
      <w:marLeft w:val="0"/>
      <w:marRight w:val="0"/>
      <w:marTop w:val="0"/>
      <w:marBottom w:val="0"/>
      <w:divBdr>
        <w:top w:val="none" w:sz="0" w:space="0" w:color="auto"/>
        <w:left w:val="none" w:sz="0" w:space="0" w:color="auto"/>
        <w:bottom w:val="none" w:sz="0" w:space="0" w:color="auto"/>
        <w:right w:val="none" w:sz="0" w:space="0" w:color="auto"/>
      </w:divBdr>
    </w:div>
    <w:div w:id="1673684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ig0048\Local%20Settings\Temporary%20Internet%20Files\Content.Outlook\SRA2SCPI\2009%20Final%20policy%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0D0D13D813994D8A206D0303190F81" ma:contentTypeVersion="13" ma:contentTypeDescription="Create a new document." ma:contentTypeScope="" ma:versionID="b4e458ff7b393c47f39e25446be073c8">
  <xsd:schema xmlns:xsd="http://www.w3.org/2001/XMLSchema" xmlns:xs="http://www.w3.org/2001/XMLSchema" xmlns:p="http://schemas.microsoft.com/office/2006/metadata/properties" xmlns:ns3="153655f5-9154-4b66-80b0-80c6dfa5fb90" xmlns:ns4="9fc88a7a-9647-4268-89b9-305ba66b9dbe" targetNamespace="http://schemas.microsoft.com/office/2006/metadata/properties" ma:root="true" ma:fieldsID="054a9f5f537d42589801e62b25e0ced5" ns3:_="" ns4:_="">
    <xsd:import namespace="153655f5-9154-4b66-80b0-80c6dfa5fb90"/>
    <xsd:import namespace="9fc88a7a-9647-4268-89b9-305ba66b9db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3655f5-9154-4b66-80b0-80c6dfa5fb9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fc88a7a-9647-4268-89b9-305ba66b9db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515F70-5B18-4A4E-9A5C-F5243FC36A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3655f5-9154-4b66-80b0-80c6dfa5fb90"/>
    <ds:schemaRef ds:uri="9fc88a7a-9647-4268-89b9-305ba66b9d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7A5155E-E766-4231-B104-95B7DA339EF2}">
  <ds:schemaRefs>
    <ds:schemaRef ds:uri="http://schemas.microsoft.com/sharepoint/v3/contenttype/forms"/>
  </ds:schemaRefs>
</ds:datastoreItem>
</file>

<file path=customXml/itemProps3.xml><?xml version="1.0" encoding="utf-8"?>
<ds:datastoreItem xmlns:ds="http://schemas.openxmlformats.org/officeDocument/2006/customXml" ds:itemID="{1A9C929A-690D-4A04-AE0E-0FBC7D6F4BE5}">
  <ds:schemaRefs>
    <ds:schemaRef ds:uri="153655f5-9154-4b66-80b0-80c6dfa5fb90"/>
    <ds:schemaRef ds:uri="http://purl.org/dc/terms/"/>
    <ds:schemaRef ds:uri="http://purl.org/dc/dcmitype/"/>
    <ds:schemaRef ds:uri="http://purl.org/dc/elements/1.1/"/>
    <ds:schemaRef ds:uri="http://schemas.microsoft.com/office/2006/metadata/properties"/>
    <ds:schemaRef ds:uri="http://schemas.microsoft.com/office/infopath/2007/PartnerControls"/>
    <ds:schemaRef ds:uri="9fc88a7a-9647-4268-89b9-305ba66b9dbe"/>
    <ds:schemaRef ds:uri="http://schemas.microsoft.com/office/2006/documentManagement/type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E4E0D39D-9D3B-488F-847B-E075C614B4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2009 Final policy template</Template>
  <TotalTime>1</TotalTime>
  <Pages>4</Pages>
  <Words>1110</Words>
  <Characters>6327</Characters>
  <Application>Microsoft Office Word</Application>
  <DocSecurity>4</DocSecurity>
  <PresentationFormat/>
  <Lines>52</Lines>
  <Paragraphs>14</Paragraphs>
  <ScaleCrop>false</ScaleCrop>
  <HeadingPairs>
    <vt:vector size="2" baseType="variant">
      <vt:variant>
        <vt:lpstr>Title</vt:lpstr>
      </vt:variant>
      <vt:variant>
        <vt:i4>1</vt:i4>
      </vt:variant>
    </vt:vector>
  </HeadingPairs>
  <TitlesOfParts>
    <vt:vector size="1" baseType="lpstr">
      <vt:lpstr>UNT Policy Template (00060739-2).DOCX</vt:lpstr>
    </vt:vector>
  </TitlesOfParts>
  <Company>UNT</Company>
  <LinksUpToDate>false</LinksUpToDate>
  <CharactersWithSpaces>7423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UNT Policy Template (00060739-2).DOCX</dc:title>
  <dc:subject>00060739-2</dc:subject>
  <dc:creator>ig0048</dc:creator>
  <cp:keywords/>
  <dc:description/>
  <cp:lastModifiedBy>Stover, Jill</cp:lastModifiedBy>
  <cp:revision>2</cp:revision>
  <cp:lastPrinted>2009-06-18T16:39:00Z</cp:lastPrinted>
  <dcterms:created xsi:type="dcterms:W3CDTF">2021-04-05T22:23:00Z</dcterms:created>
  <dcterms:modified xsi:type="dcterms:W3CDTF">2021-04-05T22:23:00Z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0x010100C60D0D13D813994D8A206D0303190F81</vt:lpwstr>
  </property>
</Properties>
</file>